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jc w:val="center"/>
        <w:rPr>
          <w:rFonts w:ascii="Times New Roman" w:hAnsi="Times New Roman" w:eastAsia="华文中宋"/>
          <w:b/>
          <w:color w:val="000000" w:themeColor="text1"/>
          <w:w w:val="90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jc w:val="center"/>
        <w:rPr>
          <w:rFonts w:ascii="华文中宋" w:hAnsi="华文中宋" w:eastAsia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双季稻田节肥增效与减排控污综合技术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一、技术概述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ascii="Times New Roman" w:hAnsi="Times New Roman" w:eastAsia="楷体"/>
          <w:b/>
          <w:sz w:val="32"/>
          <w:szCs w:val="32"/>
        </w:rPr>
        <w:t>（一）技术基本情况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江西省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是</w:t>
      </w:r>
      <w:r>
        <w:rPr>
          <w:rFonts w:ascii="Times New Roman" w:hAnsi="Times New Roman" w:eastAsia="仿宋_GB2312" w:cs="Times New Roman"/>
          <w:sz w:val="28"/>
          <w:szCs w:val="28"/>
        </w:rPr>
        <w:t>我国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最</w:t>
      </w:r>
      <w:r>
        <w:rPr>
          <w:rFonts w:ascii="Times New Roman" w:hAnsi="Times New Roman" w:eastAsia="仿宋_GB2312" w:cs="Times New Roman"/>
          <w:sz w:val="28"/>
          <w:szCs w:val="28"/>
        </w:rPr>
        <w:t>重要的水稻种植区之一，2022年稻谷种植面积和产量分别达到340.3万hm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和2036.5万t，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分别</w:t>
      </w:r>
      <w:r>
        <w:rPr>
          <w:rFonts w:ascii="Times New Roman" w:hAnsi="Times New Roman" w:eastAsia="仿宋_GB2312" w:cs="Times New Roman"/>
          <w:sz w:val="28"/>
          <w:szCs w:val="28"/>
        </w:rPr>
        <w:t>占全国稻谷种植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总</w:t>
      </w:r>
      <w:r>
        <w:rPr>
          <w:rFonts w:ascii="Times New Roman" w:hAnsi="Times New Roman" w:eastAsia="仿宋_GB2312" w:cs="Times New Roman"/>
          <w:sz w:val="28"/>
          <w:szCs w:val="28"/>
        </w:rPr>
        <w:t>面积和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总</w:t>
      </w:r>
      <w:r>
        <w:rPr>
          <w:rFonts w:ascii="Times New Roman" w:hAnsi="Times New Roman" w:eastAsia="仿宋_GB2312" w:cs="Times New Roman"/>
          <w:sz w:val="28"/>
          <w:szCs w:val="28"/>
        </w:rPr>
        <w:t>产量的11.6%和9.8%。双季稻是江西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省</w:t>
      </w:r>
      <w:r>
        <w:rPr>
          <w:rFonts w:ascii="Times New Roman" w:hAnsi="Times New Roman" w:eastAsia="仿宋_GB2312" w:cs="Times New Roman"/>
          <w:sz w:val="28"/>
          <w:szCs w:val="28"/>
        </w:rPr>
        <w:t>最主要的农业生产模式，种植面积比重稳定在72%以上，位居全国第一，对保障我国粮食安全、促进国民经济发展具有重要作用。长期以来，为满足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一年两熟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”</w:t>
      </w:r>
      <w:r>
        <w:rPr>
          <w:rFonts w:ascii="Times New Roman" w:hAnsi="Times New Roman" w:eastAsia="仿宋_GB2312" w:cs="Times New Roman"/>
          <w:sz w:val="28"/>
          <w:szCs w:val="28"/>
        </w:rPr>
        <w:t>的生产经营模式，江西双季稻生产存在化肥投入量高、养分利用率低、土壤肥力衰退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明显</w:t>
      </w:r>
      <w:r>
        <w:rPr>
          <w:rFonts w:ascii="Times New Roman" w:hAnsi="Times New Roman" w:eastAsia="仿宋_GB2312" w:cs="Times New Roman"/>
          <w:sz w:val="28"/>
          <w:szCs w:val="28"/>
        </w:rPr>
        <w:t>、温室气体排放量大、农业面源污染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严重</w:t>
      </w:r>
      <w:r>
        <w:rPr>
          <w:rFonts w:ascii="Times New Roman" w:hAnsi="Times New Roman" w:eastAsia="仿宋_GB2312" w:cs="Times New Roman"/>
          <w:sz w:val="28"/>
          <w:szCs w:val="28"/>
        </w:rPr>
        <w:t>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突出</w:t>
      </w:r>
      <w:r>
        <w:rPr>
          <w:rFonts w:ascii="Times New Roman" w:hAnsi="Times New Roman" w:eastAsia="仿宋_GB2312" w:cs="Times New Roman"/>
          <w:sz w:val="28"/>
          <w:szCs w:val="28"/>
        </w:rPr>
        <w:t>问题，一方面增加了农民的生产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负担</w:t>
      </w:r>
      <w:r>
        <w:rPr>
          <w:rFonts w:ascii="Times New Roman" w:hAnsi="Times New Roman" w:eastAsia="仿宋_GB2312" w:cs="Times New Roman"/>
          <w:sz w:val="28"/>
          <w:szCs w:val="28"/>
        </w:rPr>
        <w:t>、降低了经济效益，另一方面也造成了资源浪费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和</w:t>
      </w:r>
      <w:r>
        <w:rPr>
          <w:rFonts w:ascii="Times New Roman" w:hAnsi="Times New Roman" w:eastAsia="仿宋_GB2312" w:cs="Times New Roman"/>
          <w:sz w:val="28"/>
          <w:szCs w:val="28"/>
        </w:rPr>
        <w:t>环境污染，严重威胁农业可持续发展与区域生态文明建设。《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十四五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”</w:t>
      </w:r>
      <w:r>
        <w:rPr>
          <w:rFonts w:ascii="Times New Roman" w:hAnsi="Times New Roman" w:eastAsia="仿宋_GB2312" w:cs="Times New Roman"/>
          <w:sz w:val="28"/>
          <w:szCs w:val="28"/>
        </w:rPr>
        <w:t>全国农业绿色发展规划》明确提出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sz w:val="28"/>
          <w:szCs w:val="28"/>
        </w:rPr>
        <w:t>加强耕地质量建设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推进化肥减量增效、防治农业面源污染、推动农业固碳减排，为守住绿水青山、建设美丽中国提供重要支撑。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如何实现江西双季稻田节肥增效与减排控污协同</w:t>
      </w:r>
      <w:r>
        <w:rPr>
          <w:rFonts w:ascii="Times New Roman" w:hAnsi="Times New Roman" w:eastAsia="仿宋_GB2312" w:cs="Times New Roman"/>
          <w:sz w:val="28"/>
          <w:szCs w:val="28"/>
        </w:rPr>
        <w:t>目标是当前亟待解决的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技术难题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自</w:t>
      </w:r>
      <w:r>
        <w:rPr>
          <w:rFonts w:ascii="Times New Roman" w:hAnsi="Times New Roman" w:eastAsia="仿宋_GB2312" w:cs="Times New Roman"/>
          <w:sz w:val="28"/>
          <w:szCs w:val="28"/>
        </w:rPr>
        <w:t>2008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</w:t>
      </w:r>
      <w:r>
        <w:rPr>
          <w:rFonts w:ascii="Times New Roman" w:hAnsi="Times New Roman" w:eastAsia="仿宋_GB2312" w:cs="Times New Roman"/>
          <w:sz w:val="28"/>
          <w:szCs w:val="28"/>
        </w:rPr>
        <w:t>起，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项目组在公益性</w:t>
      </w:r>
      <w:r>
        <w:rPr>
          <w:rFonts w:ascii="Times New Roman" w:hAnsi="Times New Roman" w:eastAsia="仿宋_GB2312" w:cs="Times New Roman"/>
          <w:sz w:val="28"/>
          <w:szCs w:val="28"/>
        </w:rPr>
        <w:t>行业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（农业）科研</w:t>
      </w:r>
      <w:r>
        <w:rPr>
          <w:rFonts w:ascii="Times New Roman" w:hAnsi="Times New Roman" w:eastAsia="仿宋_GB2312" w:cs="Times New Roman"/>
          <w:sz w:val="28"/>
          <w:szCs w:val="28"/>
        </w:rPr>
        <w:t>专项、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国家现代农业产业技术体系、国家</w:t>
      </w:r>
      <w:r>
        <w:rPr>
          <w:rFonts w:ascii="Times New Roman" w:hAnsi="Times New Roman" w:eastAsia="仿宋_GB2312" w:cs="Times New Roman"/>
          <w:sz w:val="28"/>
          <w:szCs w:val="28"/>
        </w:rPr>
        <w:t>重点研发计划、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国家自然科学基金、江西省</w:t>
      </w:r>
      <w:r>
        <w:rPr>
          <w:rFonts w:ascii="Times New Roman" w:hAnsi="Times New Roman" w:eastAsia="仿宋_GB2312" w:cs="Times New Roman"/>
          <w:sz w:val="28"/>
          <w:szCs w:val="28"/>
        </w:rPr>
        <w:t>科技计划等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项目的支持下开展了长达十六</w:t>
      </w:r>
      <w:r>
        <w:rPr>
          <w:rFonts w:ascii="Times New Roman" w:hAnsi="Times New Roman" w:eastAsia="仿宋_GB2312" w:cs="Times New Roman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的联合攻关研究，以</w:t>
      </w:r>
      <w:r>
        <w:rPr>
          <w:rFonts w:ascii="Times New Roman" w:hAnsi="Times New Roman" w:eastAsia="仿宋_GB2312" w:cs="Times New Roman"/>
          <w:sz w:val="28"/>
          <w:szCs w:val="28"/>
        </w:rPr>
        <w:t>构建和优化绿肥-双季稻种植制度为核心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实现江西双季稻田节肥增效与减排控污协同</w:t>
      </w:r>
      <w:r>
        <w:rPr>
          <w:rFonts w:ascii="Times New Roman" w:hAnsi="Times New Roman" w:eastAsia="仿宋_GB2312" w:cs="Times New Roman"/>
          <w:sz w:val="28"/>
          <w:szCs w:val="28"/>
        </w:rPr>
        <w:t>目标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，先后</w:t>
      </w:r>
      <w:r>
        <w:rPr>
          <w:rFonts w:ascii="Times New Roman" w:hAnsi="Times New Roman" w:eastAsia="仿宋_GB2312" w:cs="Times New Roman"/>
          <w:sz w:val="28"/>
          <w:szCs w:val="28"/>
        </w:rPr>
        <w:t>解决了冬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绿肥生长稳定性差、环境养分截获能力</w:t>
      </w:r>
      <w:r>
        <w:rPr>
          <w:rFonts w:ascii="Times New Roman" w:hAnsi="Times New Roman" w:eastAsia="仿宋_GB2312" w:cs="Times New Roman"/>
          <w:sz w:val="28"/>
          <w:szCs w:val="28"/>
        </w:rPr>
        <w:t>弱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节肥效果不明显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等</w:t>
      </w:r>
      <w:r>
        <w:rPr>
          <w:rFonts w:ascii="Times New Roman" w:hAnsi="Times New Roman" w:eastAsia="仿宋_GB2312" w:cs="Times New Roman"/>
          <w:sz w:val="28"/>
          <w:szCs w:val="28"/>
        </w:rPr>
        <w:t>问题，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针对</w:t>
      </w: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翻压</w:t>
      </w:r>
      <w:r>
        <w:rPr>
          <w:rFonts w:ascii="Times New Roman" w:hAnsi="Times New Roman" w:eastAsia="仿宋_GB2312" w:cs="Times New Roman"/>
          <w:sz w:val="28"/>
          <w:szCs w:val="28"/>
        </w:rPr>
        <w:t>后养分释放快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损失大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创新</w:t>
      </w:r>
      <w:r>
        <w:rPr>
          <w:rFonts w:ascii="Times New Roman" w:hAnsi="Times New Roman" w:eastAsia="仿宋_GB2312" w:cs="Times New Roman"/>
          <w:sz w:val="28"/>
          <w:szCs w:val="28"/>
        </w:rPr>
        <w:t>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绿肥-稻秸联合还田技术，针对</w:t>
      </w:r>
      <w:r>
        <w:rPr>
          <w:rFonts w:ascii="Times New Roman" w:hAnsi="Times New Roman" w:eastAsia="仿宋_GB2312" w:cs="Times New Roman"/>
          <w:sz w:val="28"/>
          <w:szCs w:val="28"/>
        </w:rPr>
        <w:t>早稻秸秆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翻压</w:t>
      </w:r>
      <w:r>
        <w:rPr>
          <w:rFonts w:ascii="Times New Roman" w:hAnsi="Times New Roman" w:eastAsia="仿宋_GB2312" w:cs="Times New Roman"/>
          <w:sz w:val="28"/>
          <w:szCs w:val="28"/>
        </w:rPr>
        <w:t>后腐解慢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研发</w:t>
      </w:r>
      <w:r>
        <w:rPr>
          <w:rFonts w:ascii="Times New Roman" w:hAnsi="Times New Roman" w:eastAsia="仿宋_GB2312" w:cs="Times New Roman"/>
          <w:sz w:val="28"/>
          <w:szCs w:val="28"/>
        </w:rPr>
        <w:t>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接菌调氮</w:t>
      </w:r>
      <w:r>
        <w:rPr>
          <w:rFonts w:ascii="Times New Roman" w:hAnsi="Times New Roman" w:eastAsia="仿宋_GB2312" w:cs="Times New Roman"/>
          <w:sz w:val="28"/>
          <w:szCs w:val="28"/>
        </w:rPr>
        <w:t>促腐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还田</w:t>
      </w:r>
      <w:r>
        <w:rPr>
          <w:rFonts w:ascii="Times New Roman" w:hAnsi="Times New Roman" w:eastAsia="仿宋_GB2312" w:cs="Times New Roman"/>
          <w:sz w:val="28"/>
          <w:szCs w:val="28"/>
        </w:rPr>
        <w:t>技术，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基于</w:t>
      </w:r>
      <w:r>
        <w:rPr>
          <w:rFonts w:ascii="Times New Roman" w:hAnsi="Times New Roman" w:eastAsia="仿宋_GB2312" w:cs="Times New Roman"/>
          <w:sz w:val="28"/>
          <w:szCs w:val="28"/>
        </w:rPr>
        <w:t>绿肥-双季稻种植制度优化了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周年</w:t>
      </w:r>
      <w:r>
        <w:rPr>
          <w:rFonts w:ascii="Times New Roman" w:hAnsi="Times New Roman" w:eastAsia="仿宋_GB2312" w:cs="Times New Roman"/>
          <w:sz w:val="28"/>
          <w:szCs w:val="28"/>
        </w:rPr>
        <w:t>肥料运筹，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根据区域</w:t>
      </w:r>
      <w:r>
        <w:rPr>
          <w:rFonts w:ascii="Times New Roman" w:hAnsi="Times New Roman" w:eastAsia="仿宋_GB2312" w:cs="Times New Roman"/>
          <w:sz w:val="28"/>
          <w:szCs w:val="28"/>
        </w:rPr>
        <w:t>气候特征、水稻种植管理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情况配套</w:t>
      </w:r>
      <w:r>
        <w:rPr>
          <w:rFonts w:ascii="Times New Roman" w:hAnsi="Times New Roman" w:eastAsia="仿宋_GB2312" w:cs="Times New Roman"/>
          <w:sz w:val="28"/>
          <w:szCs w:val="28"/>
        </w:rPr>
        <w:t>施用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稻田精准控水扩容技术和沟塘拦蓄净化技术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最终集成“双季稻田节肥增效与减排控污综合技术”并大面积推广应用，</w:t>
      </w:r>
      <w:r>
        <w:rPr>
          <w:rFonts w:ascii="Times New Roman" w:hAnsi="Times New Roman" w:eastAsia="仿宋_GB2312" w:cs="Times New Roman"/>
          <w:sz w:val="28"/>
          <w:szCs w:val="28"/>
        </w:rPr>
        <w:t>取得了显著的经济、社会和生态环境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效益。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ascii="Times New Roman" w:hAnsi="Times New Roman" w:eastAsia="楷体"/>
          <w:b/>
          <w:sz w:val="32"/>
          <w:szCs w:val="32"/>
        </w:rPr>
        <w:t>（二）技术示范推广情况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201</w:t>
      </w:r>
      <w:r>
        <w:rPr>
          <w:rFonts w:ascii="Times New Roman" w:hAnsi="Times New Roman" w:eastAsia="仿宋_GB2312" w:cs="Times New Roman"/>
          <w:sz w:val="28"/>
          <w:szCs w:val="28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年以来，本</w:t>
      </w:r>
      <w:r>
        <w:rPr>
          <w:rFonts w:ascii="Times New Roman" w:hAnsi="Times New Roman" w:eastAsia="仿宋_GB2312" w:cs="Times New Roman"/>
          <w:sz w:val="28"/>
          <w:szCs w:val="28"/>
        </w:rPr>
        <w:t>技术成果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在江西省南昌市、九江市、</w:t>
      </w:r>
      <w:r>
        <w:rPr>
          <w:rFonts w:ascii="Times New Roman" w:hAnsi="Times New Roman" w:eastAsia="仿宋_GB2312" w:cs="Times New Roman"/>
          <w:sz w:val="28"/>
          <w:szCs w:val="28"/>
        </w:rPr>
        <w:t>鹰潭市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、宜春市、吉安市、赣州市等1</w:t>
      </w:r>
      <w:r>
        <w:rPr>
          <w:rFonts w:ascii="Times New Roman" w:hAnsi="Times New Roman" w:eastAsia="仿宋_GB2312" w:cs="Times New Roman"/>
          <w:sz w:val="28"/>
          <w:szCs w:val="28"/>
        </w:rPr>
        <w:t>1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个设区市大面积推广应用，累计达</w:t>
      </w:r>
      <w:r>
        <w:rPr>
          <w:rFonts w:ascii="Times New Roman" w:hAnsi="Times New Roman" w:eastAsia="仿宋_GB2312" w:cs="Times New Roman"/>
          <w:sz w:val="28"/>
          <w:szCs w:val="28"/>
        </w:rPr>
        <w:t>926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万亩，共增产稻谷</w:t>
      </w:r>
      <w:r>
        <w:rPr>
          <w:rFonts w:ascii="Times New Roman" w:hAnsi="Times New Roman" w:eastAsia="仿宋_GB2312" w:cs="Times New Roman"/>
          <w:sz w:val="28"/>
          <w:szCs w:val="28"/>
        </w:rPr>
        <w:t>64.75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万吨，节省化肥氮（N）</w:t>
      </w:r>
      <w:r>
        <w:rPr>
          <w:rFonts w:ascii="Times New Roman" w:hAnsi="Times New Roman" w:eastAsia="仿宋_GB2312" w:cs="Times New Roman"/>
          <w:sz w:val="28"/>
          <w:szCs w:val="28"/>
        </w:rPr>
        <w:t>1.85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万吨、磷（P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</w:t>
      </w:r>
      <w:r>
        <w:rPr>
          <w:rFonts w:ascii="Times New Roman" w:hAnsi="Times New Roman" w:eastAsia="仿宋_GB2312" w:cs="Times New Roman"/>
          <w:sz w:val="28"/>
          <w:szCs w:val="28"/>
        </w:rPr>
        <w:t>0.93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万吨、钾（K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</w:t>
      </w:r>
      <w:r>
        <w:rPr>
          <w:rFonts w:ascii="Times New Roman" w:hAnsi="Times New Roman" w:eastAsia="仿宋_GB2312" w:cs="Times New Roman"/>
          <w:sz w:val="28"/>
          <w:szCs w:val="28"/>
        </w:rPr>
        <w:t>1.39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万吨，新增销售额</w:t>
      </w:r>
      <w:r>
        <w:rPr>
          <w:rFonts w:ascii="Times New Roman" w:hAnsi="Times New Roman" w:eastAsia="仿宋_GB2312" w:cs="Times New Roman"/>
          <w:sz w:val="28"/>
          <w:szCs w:val="28"/>
        </w:rPr>
        <w:t>139521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万元、新增利润</w:t>
      </w:r>
      <w:r>
        <w:rPr>
          <w:rFonts w:ascii="Times New Roman" w:hAnsi="Times New Roman" w:eastAsia="仿宋_GB2312" w:cs="Times New Roman"/>
          <w:sz w:val="28"/>
          <w:szCs w:val="28"/>
        </w:rPr>
        <w:t>98347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万元，实现生态效益1</w:t>
      </w:r>
      <w:r>
        <w:rPr>
          <w:rFonts w:ascii="Times New Roman" w:hAnsi="Times New Roman" w:eastAsia="仿宋_GB2312" w:cs="Times New Roman"/>
          <w:sz w:val="28"/>
          <w:szCs w:val="28"/>
        </w:rPr>
        <w:t>33.4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亿元。</w:t>
      </w:r>
      <w:r>
        <w:rPr>
          <w:rFonts w:ascii="Times New Roman" w:hAnsi="Times New Roman" w:eastAsia="仿宋_GB2312" w:cs="Times New Roman"/>
          <w:sz w:val="28"/>
          <w:szCs w:val="28"/>
        </w:rPr>
        <w:t>累计培训农技人员和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新型</w:t>
      </w:r>
      <w:r>
        <w:rPr>
          <w:rFonts w:ascii="Times New Roman" w:hAnsi="Times New Roman" w:eastAsia="仿宋_GB2312" w:cs="Times New Roman"/>
          <w:sz w:val="28"/>
          <w:szCs w:val="28"/>
        </w:rPr>
        <w:t>农民3000余人次，发放技术手册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超</w:t>
      </w:r>
      <w:r>
        <w:rPr>
          <w:rFonts w:ascii="Times New Roman" w:hAnsi="Times New Roman" w:eastAsia="仿宋_GB2312" w:cs="Times New Roman"/>
          <w:sz w:val="28"/>
          <w:szCs w:val="28"/>
        </w:rPr>
        <w:t>20000份。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ascii="Times New Roman" w:hAnsi="Times New Roman" w:eastAsia="楷体"/>
          <w:b/>
          <w:sz w:val="32"/>
          <w:szCs w:val="32"/>
        </w:rPr>
        <w:t>（三）提质增效情况</w:t>
      </w:r>
    </w:p>
    <w:p>
      <w:pPr>
        <w:snapToGrid w:val="0"/>
        <w:spacing w:line="560" w:lineRule="exact"/>
        <w:ind w:firstLine="560" w:firstLineChars="200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在江西</w:t>
      </w:r>
      <w:r>
        <w:rPr>
          <w:rFonts w:ascii="Times New Roman" w:hAnsi="Times New Roman" w:eastAsia="仿宋_GB2312" w:cs="Times New Roman"/>
          <w:sz w:val="28"/>
          <w:szCs w:val="28"/>
        </w:rPr>
        <w:t>双季稻田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应用本</w:t>
      </w:r>
      <w:r>
        <w:rPr>
          <w:rFonts w:ascii="Times New Roman" w:hAnsi="Times New Roman" w:eastAsia="仿宋_GB2312" w:cs="Times New Roman"/>
          <w:sz w:val="28"/>
          <w:szCs w:val="28"/>
        </w:rPr>
        <w:t>技术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平均每年</w:t>
      </w:r>
      <w:r>
        <w:rPr>
          <w:rFonts w:ascii="Times New Roman" w:hAnsi="Times New Roman" w:eastAsia="仿宋_GB2312" w:cs="Times New Roman"/>
          <w:sz w:val="28"/>
          <w:szCs w:val="28"/>
        </w:rPr>
        <w:t>增产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稻谷</w:t>
      </w:r>
      <w:r>
        <w:rPr>
          <w:rFonts w:ascii="Times New Roman" w:hAnsi="Times New Roman" w:eastAsia="仿宋_GB2312" w:cs="Times New Roman"/>
          <w:sz w:val="28"/>
          <w:szCs w:val="28"/>
        </w:rPr>
        <w:t>50~70 kg/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亩</w:t>
      </w:r>
      <w:r>
        <w:rPr>
          <w:rFonts w:ascii="Times New Roman" w:hAnsi="Times New Roman" w:eastAsia="仿宋_GB2312" w:cs="Times New Roman"/>
          <w:sz w:val="28"/>
          <w:szCs w:val="28"/>
        </w:rPr>
        <w:t>，新增收益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1</w:t>
      </w:r>
      <w:r>
        <w:rPr>
          <w:rFonts w:ascii="Times New Roman" w:hAnsi="Times New Roman" w:eastAsia="仿宋_GB2312" w:cs="Times New Roman"/>
          <w:sz w:val="28"/>
          <w:szCs w:val="28"/>
        </w:rPr>
        <w:t>0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0</w:t>
      </w:r>
      <w:r>
        <w:rPr>
          <w:rFonts w:ascii="Times New Roman" w:hAnsi="Times New Roman" w:eastAsia="仿宋_GB2312" w:cs="Times New Roman"/>
          <w:sz w:val="28"/>
          <w:szCs w:val="28"/>
        </w:rPr>
        <w:t>~150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元</w:t>
      </w:r>
      <w:r>
        <w:rPr>
          <w:rFonts w:ascii="Times New Roman" w:hAnsi="Times New Roman" w:eastAsia="仿宋_GB2312" w:cs="Times New Roman"/>
          <w:sz w:val="28"/>
          <w:szCs w:val="28"/>
        </w:rPr>
        <w:t>/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亩、新增</w:t>
      </w:r>
      <w:r>
        <w:rPr>
          <w:rFonts w:ascii="Times New Roman" w:hAnsi="Times New Roman" w:eastAsia="仿宋_GB2312" w:cs="Times New Roman"/>
          <w:sz w:val="28"/>
          <w:szCs w:val="28"/>
        </w:rPr>
        <w:t>利润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6</w:t>
      </w:r>
      <w:r>
        <w:rPr>
          <w:rFonts w:ascii="Times New Roman" w:hAnsi="Times New Roman" w:eastAsia="仿宋_GB2312" w:cs="Times New Roman"/>
          <w:sz w:val="28"/>
          <w:szCs w:val="28"/>
        </w:rPr>
        <w:t>0~100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元/亩；平均节省化学氮肥（N）</w:t>
      </w:r>
      <w:r>
        <w:rPr>
          <w:rFonts w:ascii="Times New Roman" w:hAnsi="Times New Roman" w:eastAsia="仿宋_GB2312" w:cs="Times New Roman"/>
          <w:sz w:val="28"/>
          <w:szCs w:val="28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.5</w:t>
      </w:r>
      <w:r>
        <w:rPr>
          <w:rFonts w:ascii="Times New Roman" w:hAnsi="Times New Roman" w:eastAsia="仿宋_GB2312" w:cs="Times New Roman"/>
          <w:sz w:val="28"/>
          <w:szCs w:val="28"/>
        </w:rPr>
        <w:t>~4</w:t>
      </w:r>
      <w:r>
        <w:rPr>
          <w:rFonts w:hint="eastAsia" w:ascii="Times New Roman" w:hAnsi="Times New Roman" w:eastAsia="仿宋_GB2312" w:cs="Times New Roman"/>
          <w:sz w:val="28"/>
          <w:szCs w:val="28"/>
        </w:rPr>
        <w:t xml:space="preserve">.0 </w:t>
      </w:r>
      <w:r>
        <w:rPr>
          <w:rFonts w:ascii="Times New Roman" w:hAnsi="Times New Roman" w:eastAsia="仿宋_GB2312" w:cs="Times New Roman"/>
          <w:sz w:val="28"/>
          <w:szCs w:val="28"/>
        </w:rPr>
        <w:t>kg/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亩、磷肥</w:t>
      </w:r>
      <w:r>
        <w:rPr>
          <w:rFonts w:ascii="Times New Roman" w:hAnsi="Times New Roman" w:eastAsia="仿宋_GB2312" w:cs="Times New Roman"/>
          <w:sz w:val="28"/>
          <w:szCs w:val="28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P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1.</w:t>
      </w:r>
      <w:r>
        <w:rPr>
          <w:rFonts w:ascii="Times New Roman" w:hAnsi="Times New Roman" w:eastAsia="仿宋_GB2312" w:cs="Times New Roman"/>
          <w:sz w:val="28"/>
          <w:szCs w:val="28"/>
        </w:rPr>
        <w:t>2~2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</w:t>
      </w:r>
      <w:r>
        <w:rPr>
          <w:rFonts w:ascii="Times New Roman" w:hAnsi="Times New Roman" w:eastAsia="仿宋_GB2312" w:cs="Times New Roman"/>
          <w:sz w:val="28"/>
          <w:szCs w:val="28"/>
        </w:rPr>
        <w:t>0 kg/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亩、钾肥（K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</w:t>
      </w:r>
      <w:r>
        <w:rPr>
          <w:rFonts w:ascii="Times New Roman" w:hAnsi="Times New Roman" w:eastAsia="仿宋_GB2312" w:cs="Times New Roman"/>
          <w:sz w:val="28"/>
          <w:szCs w:val="28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.5</w:t>
      </w:r>
      <w:r>
        <w:rPr>
          <w:rFonts w:ascii="Times New Roman" w:hAnsi="Times New Roman" w:eastAsia="仿宋_GB2312" w:cs="Times New Roman"/>
          <w:sz w:val="28"/>
          <w:szCs w:val="28"/>
        </w:rPr>
        <w:t>~4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.0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kg/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亩，</w:t>
      </w:r>
      <w:r>
        <w:rPr>
          <w:rFonts w:ascii="Times New Roman" w:hAnsi="Times New Roman" w:eastAsia="仿宋_GB2312" w:cs="Times New Roman"/>
          <w:sz w:val="28"/>
          <w:szCs w:val="28"/>
        </w:rPr>
        <w:t>提高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氮磷钾</w:t>
      </w:r>
      <w:r>
        <w:rPr>
          <w:rFonts w:ascii="Times New Roman" w:hAnsi="Times New Roman" w:eastAsia="仿宋_GB2312" w:cs="Times New Roman"/>
          <w:sz w:val="28"/>
          <w:szCs w:val="28"/>
        </w:rPr>
        <w:t>肥料利用率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1</w:t>
      </w:r>
      <w:r>
        <w:rPr>
          <w:rFonts w:ascii="Times New Roman" w:hAnsi="Times New Roman" w:eastAsia="仿宋_GB2312" w:cs="Times New Roman"/>
          <w:sz w:val="28"/>
          <w:szCs w:val="28"/>
        </w:rPr>
        <w:t>5%~30%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；</w:t>
      </w:r>
      <w:r>
        <w:rPr>
          <w:rFonts w:ascii="Times New Roman" w:hAnsi="Times New Roman" w:eastAsia="仿宋_GB2312" w:cs="Times New Roman"/>
          <w:sz w:val="28"/>
          <w:szCs w:val="28"/>
        </w:rPr>
        <w:t>使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双季稻田</w:t>
      </w:r>
      <w:r>
        <w:rPr>
          <w:rFonts w:ascii="Times New Roman" w:hAnsi="Times New Roman" w:eastAsia="仿宋_GB2312" w:cs="Times New Roman"/>
          <w:sz w:val="28"/>
          <w:szCs w:val="28"/>
        </w:rPr>
        <w:t>温室气体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减排20</w:t>
      </w:r>
      <w:r>
        <w:rPr>
          <w:rFonts w:ascii="Times New Roman" w:hAnsi="Times New Roman" w:eastAsia="仿宋_GB2312" w:cs="Times New Roman"/>
          <w:sz w:val="28"/>
          <w:szCs w:val="28"/>
        </w:rPr>
        <w:t>%以上，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明显降低</w:t>
      </w:r>
      <w:r>
        <w:rPr>
          <w:rFonts w:ascii="Times New Roman" w:hAnsi="Times New Roman" w:eastAsia="仿宋_GB2312" w:cs="Times New Roman"/>
          <w:sz w:val="28"/>
          <w:szCs w:val="28"/>
        </w:rPr>
        <w:t>全球增温潜势（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GWP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和</w:t>
      </w:r>
      <w:r>
        <w:rPr>
          <w:rFonts w:ascii="Times New Roman" w:hAnsi="Times New Roman" w:eastAsia="仿宋_GB2312" w:cs="Times New Roman"/>
          <w:sz w:val="28"/>
          <w:szCs w:val="28"/>
        </w:rPr>
        <w:t>温室气体排放强度（GHGI）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；</w:t>
      </w:r>
      <w:r>
        <w:rPr>
          <w:rFonts w:ascii="Times New Roman" w:hAnsi="Times New Roman" w:eastAsia="仿宋_GB2312" w:cs="Times New Roman"/>
          <w:sz w:val="28"/>
          <w:szCs w:val="28"/>
        </w:rPr>
        <w:t>使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双季稻田氮磷</w:t>
      </w:r>
      <w:r>
        <w:rPr>
          <w:rFonts w:ascii="Times New Roman" w:hAnsi="Times New Roman" w:eastAsia="仿宋_GB2312" w:cs="Times New Roman"/>
          <w:sz w:val="28"/>
          <w:szCs w:val="28"/>
        </w:rPr>
        <w:t>流失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量</w:t>
      </w:r>
      <w:r>
        <w:rPr>
          <w:rFonts w:ascii="Times New Roman" w:hAnsi="Times New Roman" w:eastAsia="仿宋_GB2312" w:cs="Times New Roman"/>
          <w:sz w:val="28"/>
          <w:szCs w:val="28"/>
        </w:rPr>
        <w:t>减少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20</w:t>
      </w:r>
      <w:r>
        <w:rPr>
          <w:rFonts w:ascii="Times New Roman" w:hAnsi="Times New Roman" w:eastAsia="仿宋_GB2312" w:cs="Times New Roman"/>
          <w:sz w:val="28"/>
          <w:szCs w:val="28"/>
        </w:rPr>
        <w:t>%~50%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，明显提高农田水氮磷养分</w:t>
      </w:r>
      <w:r>
        <w:rPr>
          <w:rFonts w:ascii="Times New Roman" w:hAnsi="Times New Roman" w:eastAsia="仿宋_GB2312" w:cs="Times New Roman"/>
          <w:sz w:val="28"/>
          <w:szCs w:val="28"/>
        </w:rPr>
        <w:t>循环再利用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效率。另外</w:t>
      </w:r>
      <w:r>
        <w:rPr>
          <w:rFonts w:ascii="Times New Roman" w:hAnsi="Times New Roman" w:eastAsia="仿宋_GB2312" w:cs="Times New Roman"/>
          <w:sz w:val="28"/>
          <w:szCs w:val="28"/>
        </w:rPr>
        <w:t>，应用本技术还改善了双季稻田土壤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肥力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实现了</w:t>
      </w:r>
      <w:r>
        <w:rPr>
          <w:rFonts w:ascii="Times New Roman" w:hAnsi="Times New Roman" w:eastAsia="仿宋_GB2312" w:cs="Times New Roman"/>
          <w:sz w:val="28"/>
          <w:szCs w:val="28"/>
        </w:rPr>
        <w:t>土地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用养</w:t>
      </w:r>
      <w:r>
        <w:rPr>
          <w:rFonts w:ascii="Times New Roman" w:hAnsi="Times New Roman" w:eastAsia="仿宋_GB2312" w:cs="Times New Roman"/>
          <w:sz w:val="28"/>
          <w:szCs w:val="28"/>
        </w:rPr>
        <w:t>结合。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本技术的应用</w:t>
      </w:r>
      <w:r>
        <w:rPr>
          <w:rFonts w:ascii="Times New Roman" w:hAnsi="Times New Roman" w:eastAsia="仿宋_GB2312" w:cs="Times New Roman"/>
          <w:sz w:val="28"/>
          <w:szCs w:val="28"/>
        </w:rPr>
        <w:t>有力支撑了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江西省</w:t>
      </w:r>
      <w:r>
        <w:rPr>
          <w:rFonts w:ascii="Times New Roman" w:hAnsi="Times New Roman" w:eastAsia="仿宋_GB2312" w:cs="Times New Roman"/>
          <w:sz w:val="28"/>
          <w:szCs w:val="28"/>
        </w:rPr>
        <w:t>耕地质量提升、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农田</w:t>
      </w:r>
      <w:r>
        <w:rPr>
          <w:rFonts w:ascii="Times New Roman" w:hAnsi="Times New Roman" w:eastAsia="仿宋_GB2312" w:cs="Times New Roman"/>
          <w:sz w:val="28"/>
          <w:szCs w:val="28"/>
        </w:rPr>
        <w:t>固碳减排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、农业</w:t>
      </w:r>
      <w:r>
        <w:rPr>
          <w:rFonts w:ascii="Times New Roman" w:hAnsi="Times New Roman" w:eastAsia="仿宋_GB2312" w:cs="Times New Roman"/>
          <w:sz w:val="28"/>
          <w:szCs w:val="28"/>
        </w:rPr>
        <w:t>绿色发展等国家战略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</w:t>
      </w:r>
      <w:r>
        <w:rPr>
          <w:rFonts w:ascii="Times New Roman" w:hAnsi="Times New Roman" w:eastAsia="仿宋_GB2312" w:cs="Times New Roman"/>
          <w:sz w:val="28"/>
          <w:szCs w:val="28"/>
        </w:rPr>
        <w:t>落地实施。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ascii="Times New Roman" w:hAnsi="Times New Roman" w:eastAsia="楷体"/>
          <w:b/>
          <w:sz w:val="32"/>
          <w:szCs w:val="32"/>
        </w:rPr>
        <w:t>（四）技术获奖情况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/>
          <w:b/>
          <w:sz w:val="28"/>
          <w:szCs w:val="28"/>
        </w:rPr>
        <w:t>本技术入选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2023年江西省农业主推技术。</w:t>
      </w:r>
      <w:r>
        <w:rPr>
          <w:rFonts w:ascii="Times New Roman" w:hAnsi="Times New Roman" w:eastAsia="仿宋_GB2312" w:cs="Times New Roman"/>
          <w:sz w:val="28"/>
          <w:szCs w:val="28"/>
        </w:rPr>
        <w:t>主要技术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内容先后</w:t>
      </w:r>
      <w:r>
        <w:rPr>
          <w:rFonts w:ascii="Times New Roman" w:hAnsi="Times New Roman" w:eastAsia="仿宋_GB2312" w:cs="Times New Roman"/>
          <w:sz w:val="28"/>
          <w:szCs w:val="28"/>
        </w:rPr>
        <w:t>入选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020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年中国农业农村重大新技术新产品新装备——十大新技术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稻秸—绿肥轻简化利用及高效节肥技术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、2021年农业农村部主推</w:t>
      </w:r>
      <w:r>
        <w:rPr>
          <w:rFonts w:ascii="Times New Roman" w:hAnsi="Times New Roman" w:eastAsia="仿宋_GB2312" w:cs="Times New Roman"/>
          <w:sz w:val="28"/>
          <w:szCs w:val="28"/>
        </w:rPr>
        <w:t>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南方稻田豆科绿肥与稻草联合利用养地减肥技术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、2022年农业农村部主推</w:t>
      </w:r>
      <w:r>
        <w:rPr>
          <w:rFonts w:ascii="Times New Roman" w:hAnsi="Times New Roman" w:eastAsia="仿宋_GB2312" w:cs="Times New Roman"/>
          <w:sz w:val="28"/>
          <w:szCs w:val="28"/>
        </w:rPr>
        <w:t>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南方水稻节肥养地型绿肥种植利用技术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、2023年农业农村部主推</w:t>
      </w:r>
      <w:r>
        <w:rPr>
          <w:rFonts w:ascii="Times New Roman" w:hAnsi="Times New Roman" w:eastAsia="仿宋_GB2312" w:cs="Times New Roman"/>
          <w:sz w:val="28"/>
          <w:szCs w:val="28"/>
        </w:rPr>
        <w:t>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南方稻田绿肥轻简高效节肥增效技术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</w:p>
    <w:p>
      <w:pPr>
        <w:snapToGrid w:val="0"/>
        <w:spacing w:line="560" w:lineRule="exact"/>
        <w:ind w:firstLine="560" w:firstLineChars="200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Times New Roman" w:eastAsia="仿宋_GB2312"/>
          <w:sz w:val="28"/>
          <w:szCs w:val="28"/>
        </w:rPr>
        <w:t>本技术</w:t>
      </w:r>
      <w:r>
        <w:rPr>
          <w:rFonts w:hint="eastAsia" w:ascii="仿宋_GB2312" w:hAnsi="仿宋_GB2312" w:eastAsia="仿宋_GB2312" w:cs="仿宋_GB2312"/>
          <w:sz w:val="28"/>
          <w:szCs w:val="28"/>
        </w:rPr>
        <w:t>曾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获2</w:t>
      </w:r>
      <w:r>
        <w:rPr>
          <w:rFonts w:ascii="Times New Roman" w:hAnsi="Times New Roman" w:eastAsia="仿宋_GB2312" w:cs="Times New Roman"/>
          <w:sz w:val="28"/>
          <w:szCs w:val="28"/>
        </w:rPr>
        <w:t>017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年度国家科学技术进步二等奖“全国农田氮磷面源污染监测技术体系创建与应用”、2</w:t>
      </w:r>
      <w:r>
        <w:rPr>
          <w:rFonts w:ascii="Times New Roman" w:hAnsi="Times New Roman" w:eastAsia="仿宋_GB2312" w:cs="Times New Roman"/>
          <w:sz w:val="28"/>
          <w:szCs w:val="28"/>
        </w:rPr>
        <w:t>020-2021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年度中华农业科技一等奖“南方典型区域农业面源污染防控关键技术与应用”、2</w:t>
      </w:r>
      <w:r>
        <w:rPr>
          <w:rFonts w:ascii="Times New Roman" w:hAnsi="Times New Roman" w:eastAsia="仿宋_GB2312" w:cs="Times New Roman"/>
          <w:sz w:val="28"/>
          <w:szCs w:val="28"/>
        </w:rPr>
        <w:t>012-2013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年度中华农业科技奖一等奖“稻田绿肥-水稻高产高效清洁生产体系集成及示范”、2</w:t>
      </w:r>
      <w:r>
        <w:rPr>
          <w:rFonts w:ascii="Times New Roman" w:hAnsi="Times New Roman" w:eastAsia="仿宋_GB2312" w:cs="Times New Roman"/>
          <w:sz w:val="28"/>
          <w:szCs w:val="28"/>
        </w:rPr>
        <w:t>019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年度江西省科技进步一等奖“鄱阳湖科学考察”、2</w:t>
      </w:r>
      <w:r>
        <w:rPr>
          <w:rFonts w:ascii="Times New Roman" w:hAnsi="Times New Roman" w:eastAsia="仿宋_GB2312" w:cs="Times New Roman"/>
          <w:sz w:val="28"/>
          <w:szCs w:val="28"/>
        </w:rPr>
        <w:t>016-2017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年度中华农业科技三等奖“红壤农田肥力演变与持续丰产技术应用”、2</w:t>
      </w:r>
      <w:r>
        <w:rPr>
          <w:rFonts w:ascii="Times New Roman" w:hAnsi="Times New Roman" w:eastAsia="仿宋_GB2312" w:cs="Times New Roman"/>
          <w:sz w:val="28"/>
          <w:szCs w:val="28"/>
        </w:rPr>
        <w:t>017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年度鹰潭市科技进步二等奖“红壤性稻田湿地土壤磷素流失调控研究及应用”。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二、技术要点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hint="eastAsia" w:ascii="Times New Roman" w:hAnsi="Times New Roman" w:eastAsia="楷体"/>
          <w:b/>
          <w:sz w:val="32"/>
          <w:szCs w:val="32"/>
        </w:rPr>
        <w:t>（一）</w:t>
      </w:r>
      <w:r>
        <w:rPr>
          <w:rFonts w:ascii="Times New Roman" w:hAnsi="Times New Roman" w:eastAsia="楷体"/>
          <w:b/>
          <w:sz w:val="32"/>
          <w:szCs w:val="32"/>
        </w:rPr>
        <w:t>绿肥种植</w:t>
      </w:r>
      <w:r>
        <w:rPr>
          <w:rFonts w:hint="eastAsia" w:ascii="Times New Roman" w:hAnsi="Times New Roman" w:eastAsia="楷体"/>
          <w:b/>
          <w:sz w:val="32"/>
          <w:szCs w:val="32"/>
        </w:rPr>
        <w:t>技术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1、磷肥</w:t>
      </w:r>
      <w:r>
        <w:rPr>
          <w:rFonts w:ascii="Times New Roman" w:hAnsi="Times New Roman" w:eastAsia="仿宋_GB2312" w:cs="Times New Roman"/>
          <w:b/>
          <w:sz w:val="28"/>
          <w:szCs w:val="28"/>
        </w:rPr>
        <w:t>前移拌种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在晚稻收割前7~15天排空田面水准备播种绿肥，播种前选择晴天晒种5~6 h，而后用15.0~22.5 kg/hm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的P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eastAsia="仿宋_GB2312" w:cs="Times New Roman"/>
          <w:sz w:val="28"/>
          <w:szCs w:val="28"/>
        </w:rPr>
        <w:t>（肥料使用钙镁磷肥）拌匀绿肥种子，此处的P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eastAsia="仿宋_GB2312" w:cs="Times New Roman"/>
          <w:sz w:val="28"/>
          <w:szCs w:val="28"/>
        </w:rPr>
        <w:t>是将次年早稻季常规磷肥用量（P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75 kg/hm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）的20%~30%前移至绿肥季施用，一来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可以促进</w:t>
      </w:r>
      <w:r>
        <w:rPr>
          <w:rFonts w:ascii="Times New Roman" w:hAnsi="Times New Roman" w:eastAsia="仿宋_GB2312" w:cs="Times New Roman"/>
          <w:sz w:val="28"/>
          <w:szCs w:val="28"/>
        </w:rPr>
        <w:t>绿肥出苗生长，实现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小肥换大肥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”</w:t>
      </w:r>
      <w:r>
        <w:rPr>
          <w:rFonts w:ascii="Times New Roman" w:hAnsi="Times New Roman" w:eastAsia="仿宋_GB2312" w:cs="Times New Roman"/>
          <w:sz w:val="28"/>
          <w:szCs w:val="28"/>
        </w:rPr>
        <w:t>目的，二来可以减少次年早稻季磷肥用量，避免一次性大量基施磷肥所导致的磷素流失。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2、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绿肥多科属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配置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江西</w:t>
      </w:r>
      <w:r>
        <w:rPr>
          <w:rFonts w:ascii="Times New Roman" w:hAnsi="Times New Roman" w:eastAsia="仿宋_GB2312" w:cs="Times New Roman"/>
          <w:sz w:val="28"/>
          <w:szCs w:val="28"/>
        </w:rPr>
        <w:t>双季稻田通用型绿肥品种为紫云英，播种量为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22.5</w:t>
      </w:r>
      <w:r>
        <w:rPr>
          <w:rFonts w:ascii="Times New Roman" w:hAnsi="Times New Roman" w:eastAsia="仿宋_GB2312" w:cs="Times New Roman"/>
          <w:sz w:val="28"/>
          <w:szCs w:val="28"/>
        </w:rPr>
        <w:t>~30.0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/h</w:t>
      </w:r>
      <w:r>
        <w:rPr>
          <w:rFonts w:ascii="Times New Roman" w:hAnsi="Times New Roman" w:eastAsia="仿宋_GB2312" w:cs="Times New Roman"/>
          <w:sz w:val="28"/>
          <w:szCs w:val="28"/>
        </w:rPr>
        <w:t>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根据</w:t>
      </w:r>
      <w:r>
        <w:rPr>
          <w:rFonts w:ascii="Times New Roman" w:hAnsi="Times New Roman" w:eastAsia="仿宋_GB2312" w:cs="Times New Roman"/>
          <w:sz w:val="28"/>
          <w:szCs w:val="28"/>
        </w:rPr>
        <w:t>不同田块的土壤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性质</w:t>
      </w:r>
      <w:r>
        <w:rPr>
          <w:rFonts w:ascii="Times New Roman" w:hAnsi="Times New Roman" w:eastAsia="仿宋_GB2312" w:cs="Times New Roman"/>
          <w:sz w:val="28"/>
          <w:szCs w:val="28"/>
        </w:rPr>
        <w:t>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进行</w:t>
      </w:r>
      <w:r>
        <w:rPr>
          <w:rFonts w:ascii="Times New Roman" w:hAnsi="Times New Roman" w:eastAsia="仿宋_GB2312" w:cs="Times New Roman"/>
          <w:sz w:val="28"/>
          <w:szCs w:val="28"/>
        </w:rPr>
        <w:t>绿肥多科属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配置，</w:t>
      </w:r>
      <w:r>
        <w:rPr>
          <w:rFonts w:ascii="Times New Roman" w:hAnsi="Times New Roman" w:eastAsia="仿宋_GB2312" w:cs="Times New Roman"/>
          <w:sz w:val="28"/>
          <w:szCs w:val="28"/>
        </w:rPr>
        <w:t>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增强</w:t>
      </w: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生长稳定性、</w:t>
      </w:r>
      <w:r>
        <w:rPr>
          <w:rFonts w:ascii="Times New Roman" w:hAnsi="Times New Roman" w:eastAsia="仿宋_GB2312" w:cs="Times New Roman"/>
          <w:sz w:val="28"/>
          <w:szCs w:val="28"/>
        </w:rPr>
        <w:t>增益绿肥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还田效果。</w:t>
      </w:r>
      <w:r>
        <w:rPr>
          <w:rFonts w:ascii="Times New Roman" w:hAnsi="Times New Roman" w:eastAsia="仿宋_GB2312" w:cs="Times New Roman"/>
          <w:sz w:val="28"/>
          <w:szCs w:val="28"/>
        </w:rPr>
        <w:t>肥力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较低</w:t>
      </w:r>
      <w:r>
        <w:rPr>
          <w:rFonts w:ascii="Times New Roman" w:hAnsi="Times New Roman" w:eastAsia="仿宋_GB2312" w:cs="Times New Roman"/>
          <w:sz w:val="28"/>
          <w:szCs w:val="28"/>
        </w:rPr>
        <w:t>的田块可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进一步混播</w:t>
      </w:r>
      <w:r>
        <w:rPr>
          <w:rFonts w:ascii="Times New Roman" w:hAnsi="Times New Roman" w:eastAsia="仿宋_GB2312" w:cs="Times New Roman"/>
          <w:sz w:val="28"/>
          <w:szCs w:val="28"/>
        </w:rPr>
        <w:t>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.5</w:t>
      </w:r>
      <w:r>
        <w:rPr>
          <w:rFonts w:ascii="Times New Roman" w:hAnsi="Times New Roman" w:eastAsia="仿宋_GB2312" w:cs="Times New Roman"/>
          <w:sz w:val="28"/>
          <w:szCs w:val="28"/>
        </w:rPr>
        <w:t>~15.0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/h</w:t>
      </w:r>
      <w:r>
        <w:rPr>
          <w:rFonts w:ascii="Times New Roman" w:hAnsi="Times New Roman" w:eastAsia="仿宋_GB2312" w:cs="Times New Roman"/>
          <w:sz w:val="28"/>
          <w:szCs w:val="28"/>
        </w:rPr>
        <w:t>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毛叶</w:t>
      </w:r>
      <w:r>
        <w:rPr>
          <w:rFonts w:ascii="Times New Roman" w:hAnsi="Times New Roman" w:eastAsia="仿宋_GB2312" w:cs="Times New Roman"/>
          <w:sz w:val="28"/>
          <w:szCs w:val="28"/>
        </w:rPr>
        <w:t>苕子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或4.5</w:t>
      </w:r>
      <w:r>
        <w:rPr>
          <w:rFonts w:ascii="Times New Roman" w:hAnsi="Times New Roman" w:eastAsia="仿宋_GB2312" w:cs="Times New Roman"/>
          <w:sz w:val="28"/>
          <w:szCs w:val="28"/>
        </w:rPr>
        <w:t>~7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.5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/h</w:t>
      </w:r>
      <w:r>
        <w:rPr>
          <w:rFonts w:ascii="Times New Roman" w:hAnsi="Times New Roman" w:eastAsia="仿宋_GB2312" w:cs="Times New Roman"/>
          <w:sz w:val="28"/>
          <w:szCs w:val="28"/>
        </w:rPr>
        <w:t>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肥用</w:t>
      </w:r>
      <w:r>
        <w:rPr>
          <w:rFonts w:ascii="Times New Roman" w:hAnsi="Times New Roman" w:eastAsia="仿宋_GB2312" w:cs="Times New Roman"/>
          <w:sz w:val="28"/>
          <w:szCs w:val="28"/>
        </w:rPr>
        <w:t>油菜，加速土壤培肥过程；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耕层</w:t>
      </w:r>
      <w:r>
        <w:rPr>
          <w:rFonts w:ascii="Times New Roman" w:hAnsi="Times New Roman" w:eastAsia="仿宋_GB2312" w:cs="Times New Roman"/>
          <w:sz w:val="28"/>
          <w:szCs w:val="28"/>
        </w:rPr>
        <w:t>较薄的田块可进一步混播7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.5</w:t>
      </w:r>
      <w:r>
        <w:rPr>
          <w:rFonts w:ascii="Times New Roman" w:hAnsi="Times New Roman" w:eastAsia="仿宋_GB2312" w:cs="Times New Roman"/>
          <w:sz w:val="28"/>
          <w:szCs w:val="28"/>
        </w:rPr>
        <w:t>~15.0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/h</w:t>
      </w:r>
      <w:r>
        <w:rPr>
          <w:rFonts w:ascii="Times New Roman" w:hAnsi="Times New Roman" w:eastAsia="仿宋_GB2312" w:cs="Times New Roman"/>
          <w:sz w:val="28"/>
          <w:szCs w:val="28"/>
        </w:rPr>
        <w:t>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肥田</w:t>
      </w:r>
      <w:r>
        <w:rPr>
          <w:rFonts w:ascii="Times New Roman" w:hAnsi="Times New Roman" w:eastAsia="仿宋_GB2312" w:cs="Times New Roman"/>
          <w:sz w:val="28"/>
          <w:szCs w:val="28"/>
        </w:rPr>
        <w:t>萝卜，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通过“生物</w:t>
      </w:r>
      <w:r>
        <w:rPr>
          <w:rFonts w:ascii="Times New Roman" w:hAnsi="Times New Roman" w:eastAsia="仿宋_GB2312" w:cs="Times New Roman"/>
          <w:sz w:val="28"/>
          <w:szCs w:val="28"/>
        </w:rPr>
        <w:t>耕作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”构建厚沃</w:t>
      </w:r>
      <w:r>
        <w:rPr>
          <w:rFonts w:ascii="Times New Roman" w:hAnsi="Times New Roman" w:eastAsia="仿宋_GB2312" w:cs="Times New Roman"/>
          <w:sz w:val="28"/>
          <w:szCs w:val="28"/>
        </w:rPr>
        <w:t>耕层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；</w:t>
      </w:r>
      <w:r>
        <w:rPr>
          <w:rFonts w:ascii="Times New Roman" w:hAnsi="Times New Roman" w:eastAsia="仿宋_GB2312" w:cs="Times New Roman"/>
          <w:sz w:val="28"/>
          <w:szCs w:val="28"/>
        </w:rPr>
        <w:t>质地黏重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</w:t>
      </w:r>
      <w:r>
        <w:rPr>
          <w:rFonts w:ascii="Times New Roman" w:hAnsi="Times New Roman" w:eastAsia="仿宋_GB2312" w:cs="Times New Roman"/>
          <w:sz w:val="28"/>
          <w:szCs w:val="28"/>
        </w:rPr>
        <w:t>田块可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进一步混播4.5</w:t>
      </w:r>
      <w:r>
        <w:rPr>
          <w:rFonts w:ascii="Times New Roman" w:hAnsi="Times New Roman" w:eastAsia="仿宋_GB2312" w:cs="Times New Roman"/>
          <w:sz w:val="28"/>
          <w:szCs w:val="28"/>
        </w:rPr>
        <w:t>~7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.5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/h</w:t>
      </w:r>
      <w:r>
        <w:rPr>
          <w:rFonts w:ascii="Times New Roman" w:hAnsi="Times New Roman" w:eastAsia="仿宋_GB2312" w:cs="Times New Roman"/>
          <w:sz w:val="28"/>
          <w:szCs w:val="28"/>
        </w:rPr>
        <w:t>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黑麦草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通过其</w:t>
      </w:r>
      <w:r>
        <w:rPr>
          <w:rFonts w:ascii="Times New Roman" w:hAnsi="Times New Roman" w:eastAsia="仿宋_GB2312" w:cs="Times New Roman"/>
          <w:sz w:val="28"/>
          <w:szCs w:val="28"/>
        </w:rPr>
        <w:t>发达的须根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疏松</w:t>
      </w:r>
      <w:r>
        <w:rPr>
          <w:rFonts w:ascii="Times New Roman" w:hAnsi="Times New Roman" w:eastAsia="仿宋_GB2312" w:cs="Times New Roman"/>
          <w:sz w:val="28"/>
          <w:szCs w:val="28"/>
        </w:rPr>
        <w:t>土壤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3、晚稻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留高茬收获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晚稻收获时调整联合收割机割台高度，使稻茬</w:t>
      </w:r>
      <w:r>
        <w:rPr>
          <w:rFonts w:ascii="Times New Roman" w:hAnsi="Times New Roman" w:eastAsia="仿宋_GB2312" w:cs="Times New Roman"/>
          <w:sz w:val="28"/>
          <w:szCs w:val="28"/>
        </w:rPr>
        <w:t>留高30～40 cm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刈割的稻草切碎后均匀抛撒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覆盖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还田（图1）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切</w:t>
      </w:r>
      <w:r>
        <w:rPr>
          <w:rFonts w:ascii="Times New Roman" w:hAnsi="Times New Roman" w:eastAsia="仿宋_GB2312" w:cs="Times New Roman"/>
          <w:sz w:val="28"/>
          <w:szCs w:val="28"/>
        </w:rPr>
        <w:t>碎的稻草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腐解</w:t>
      </w:r>
      <w:r>
        <w:rPr>
          <w:rFonts w:ascii="Times New Roman" w:hAnsi="Times New Roman" w:eastAsia="仿宋_GB2312" w:cs="Times New Roman"/>
          <w:sz w:val="28"/>
          <w:szCs w:val="28"/>
        </w:rPr>
        <w:t>可为绿肥生长提供矿质营养元素，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并且</w:t>
      </w:r>
      <w:r>
        <w:rPr>
          <w:rFonts w:ascii="Times New Roman" w:hAnsi="Times New Roman" w:eastAsia="仿宋_GB2312" w:cs="Times New Roman"/>
          <w:sz w:val="28"/>
          <w:szCs w:val="28"/>
        </w:rPr>
        <w:t>覆盖地表配合留高茬能为绿肥前期生长提供保护，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在秋旱情况下</w:t>
      </w:r>
      <w:r>
        <w:rPr>
          <w:rFonts w:ascii="Times New Roman" w:hAnsi="Times New Roman" w:eastAsia="仿宋_GB2312" w:cs="Times New Roman"/>
          <w:sz w:val="28"/>
          <w:szCs w:val="28"/>
        </w:rPr>
        <w:t>有利于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保水保墒，在</w:t>
      </w:r>
      <w:r>
        <w:rPr>
          <w:rFonts w:ascii="Times New Roman" w:hAnsi="Times New Roman" w:eastAsia="仿宋_GB2312" w:cs="Times New Roman"/>
          <w:sz w:val="28"/>
          <w:szCs w:val="28"/>
        </w:rPr>
        <w:t>冬季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可挡风保</w:t>
      </w:r>
      <w:r>
        <w:rPr>
          <w:rFonts w:ascii="Times New Roman" w:hAnsi="Times New Roman" w:eastAsia="仿宋_GB2312" w:cs="Times New Roman"/>
          <w:sz w:val="28"/>
          <w:szCs w:val="28"/>
        </w:rPr>
        <w:t>温。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4、稻田</w:t>
      </w:r>
      <w:r>
        <w:rPr>
          <w:rFonts w:ascii="Times New Roman" w:hAnsi="Times New Roman" w:eastAsia="仿宋_GB2312" w:cs="Times New Roman"/>
          <w:b/>
          <w:sz w:val="28"/>
          <w:szCs w:val="28"/>
        </w:rPr>
        <w:t>开沟</w:t>
      </w:r>
    </w:p>
    <w:p>
      <w:pPr>
        <w:snapToGrid w:val="0"/>
        <w:spacing w:line="560" w:lineRule="exact"/>
        <w:ind w:firstLine="560" w:firstLineChars="200"/>
        <w:rPr>
          <w:rFonts w:ascii="仿宋_GB2312" w:hAnsi="Times New Roman" w:eastAsia="仿宋_GB2312"/>
          <w:b/>
          <w:color w:val="00B050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晚稻</w:t>
      </w:r>
      <w:r>
        <w:rPr>
          <w:rFonts w:ascii="Times New Roman" w:hAnsi="Times New Roman" w:eastAsia="仿宋_GB2312" w:cs="Times New Roman"/>
          <w:sz w:val="28"/>
          <w:szCs w:val="28"/>
        </w:rPr>
        <w:t>收获后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及时开好畦沟、腰沟和围沟，沟宽、深均为1</w:t>
      </w:r>
      <w:r>
        <w:rPr>
          <w:rFonts w:ascii="Times New Roman" w:hAnsi="Times New Roman" w:eastAsia="仿宋_GB2312" w:cs="Times New Roman"/>
          <w:sz w:val="28"/>
          <w:szCs w:val="28"/>
        </w:rPr>
        <w:t>5~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20 cm。做到三沟配套，即环田开围沟，每隔5</w:t>
      </w:r>
      <w:r>
        <w:rPr>
          <w:rFonts w:ascii="Times New Roman" w:hAnsi="Times New Roman" w:eastAsia="仿宋_GB2312" w:cs="Times New Roman"/>
          <w:sz w:val="28"/>
          <w:szCs w:val="28"/>
        </w:rPr>
        <w:t>~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8 m开“井”字沟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田块较小的开“十”字沟，沟应与排水口相通。</w:t>
      </w:r>
    </w:p>
    <w:p>
      <w:pPr>
        <w:snapToGrid w:val="0"/>
        <w:ind w:left="280" w:hanging="280" w:hangingChars="100"/>
        <w:jc w:val="center"/>
        <w:rPr>
          <w:rFonts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91435" cy="1943735"/>
            <wp:effectExtent l="0" t="0" r="0" b="0"/>
            <wp:docPr id="3" name="图片 3" descr="C:\Users\Scccccc\Desktop\江西高安-原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cccccc\Desktop\江西高安-原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93340" cy="19437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45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图1 晚稻留高茬收获</w:t>
      </w:r>
      <w:r>
        <w:rPr>
          <w:rFonts w:ascii="Times New Roman" w:hAnsi="Times New Roman" w:eastAsia="仿宋_GB2312" w:cs="Times New Roman"/>
          <w:sz w:val="28"/>
          <w:szCs w:val="28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左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、稻田开沟</w:t>
      </w:r>
      <w:r>
        <w:rPr>
          <w:rFonts w:ascii="Times New Roman" w:hAnsi="Times New Roman" w:eastAsia="仿宋_GB2312" w:cs="Times New Roman"/>
          <w:sz w:val="28"/>
          <w:szCs w:val="28"/>
        </w:rPr>
        <w:t>与绿肥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出苗</w:t>
      </w:r>
      <w:r>
        <w:rPr>
          <w:rFonts w:ascii="Times New Roman" w:hAnsi="Times New Roman" w:eastAsia="仿宋_GB2312" w:cs="Times New Roman"/>
          <w:sz w:val="28"/>
          <w:szCs w:val="28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右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</w:p>
    <w:p>
      <w:pPr>
        <w:snapToGrid w:val="0"/>
        <w:spacing w:line="560" w:lineRule="exact"/>
        <w:rPr>
          <w:rFonts w:ascii="Times New Roman" w:hAnsi="Times New Roman" w:eastAsia="仿宋_GB2312" w:cs="Times New Roman"/>
          <w:color w:val="FF0000"/>
          <w:sz w:val="28"/>
          <w:szCs w:val="28"/>
        </w:rPr>
      </w:pP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hint="eastAsia" w:ascii="Times New Roman" w:hAnsi="Times New Roman" w:eastAsia="楷体"/>
          <w:b/>
          <w:sz w:val="32"/>
          <w:szCs w:val="32"/>
        </w:rPr>
        <w:t>（二）绿肥利用技术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1、绿肥-稻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秸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联合</w:t>
      </w:r>
      <w:r>
        <w:rPr>
          <w:rFonts w:ascii="Times New Roman" w:hAnsi="Times New Roman" w:eastAsia="仿宋_GB2312" w:cs="Times New Roman"/>
          <w:b/>
          <w:sz w:val="28"/>
          <w:szCs w:val="28"/>
        </w:rPr>
        <w:t>还田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在</w:t>
      </w:r>
      <w:r>
        <w:rPr>
          <w:rFonts w:ascii="Times New Roman" w:hAnsi="Times New Roman" w:eastAsia="仿宋_GB2312" w:cs="Times New Roman"/>
          <w:sz w:val="28"/>
          <w:szCs w:val="28"/>
        </w:rPr>
        <w:t>次年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早稻</w:t>
      </w:r>
      <w:r>
        <w:rPr>
          <w:rFonts w:ascii="Times New Roman" w:hAnsi="Times New Roman" w:eastAsia="仿宋_GB2312" w:cs="Times New Roman"/>
          <w:sz w:val="28"/>
          <w:szCs w:val="28"/>
        </w:rPr>
        <w:t>移栽前10~15天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将绿肥</w:t>
      </w:r>
      <w:r>
        <w:rPr>
          <w:rFonts w:ascii="Times New Roman" w:hAnsi="Times New Roman" w:eastAsia="仿宋_GB2312" w:cs="Times New Roman"/>
          <w:sz w:val="28"/>
          <w:szCs w:val="28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紫云英、紫云英</w:t>
      </w:r>
      <w:r>
        <w:rPr>
          <w:rFonts w:ascii="Times New Roman" w:hAnsi="Times New Roman" w:eastAsia="仿宋_GB2312" w:cs="Times New Roman"/>
          <w:sz w:val="28"/>
          <w:szCs w:val="28"/>
        </w:rPr>
        <w:t>+毛叶苕子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紫云英+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肥用油菜、</w:t>
      </w:r>
      <w:r>
        <w:rPr>
          <w:rFonts w:ascii="Times New Roman" w:hAnsi="Times New Roman" w:eastAsia="仿宋_GB2312" w:cs="Times New Roman"/>
          <w:sz w:val="28"/>
          <w:szCs w:val="28"/>
        </w:rPr>
        <w:t>紫云英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+</w:t>
      </w:r>
      <w:r>
        <w:rPr>
          <w:rFonts w:ascii="Times New Roman" w:hAnsi="Times New Roman" w:eastAsia="仿宋_GB2312" w:cs="Times New Roman"/>
          <w:sz w:val="28"/>
          <w:szCs w:val="28"/>
        </w:rPr>
        <w:t>肥田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萝卜、紫云英</w:t>
      </w:r>
      <w:r>
        <w:rPr>
          <w:rFonts w:ascii="Times New Roman" w:hAnsi="Times New Roman" w:eastAsia="仿宋_GB2312" w:cs="Times New Roman"/>
          <w:sz w:val="28"/>
          <w:szCs w:val="28"/>
        </w:rPr>
        <w:t>+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黑麦草等</w:t>
      </w:r>
      <w:r>
        <w:rPr>
          <w:rFonts w:ascii="Times New Roman" w:hAnsi="Times New Roman" w:eastAsia="仿宋_GB2312" w:cs="Times New Roman"/>
          <w:sz w:val="28"/>
          <w:szCs w:val="28"/>
        </w:rPr>
        <w:t>）与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田间</w:t>
      </w:r>
      <w:r>
        <w:rPr>
          <w:rFonts w:ascii="Times New Roman" w:hAnsi="Times New Roman" w:eastAsia="仿宋_GB2312" w:cs="Times New Roman"/>
          <w:sz w:val="28"/>
          <w:szCs w:val="28"/>
        </w:rPr>
        <w:t>残留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稻</w:t>
      </w:r>
      <w:r>
        <w:rPr>
          <w:rFonts w:ascii="Times New Roman" w:hAnsi="Times New Roman" w:eastAsia="仿宋_GB2312" w:cs="Times New Roman"/>
          <w:sz w:val="28"/>
          <w:szCs w:val="28"/>
        </w:rPr>
        <w:t>秸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（包括</w:t>
      </w:r>
      <w:r>
        <w:rPr>
          <w:rFonts w:ascii="Times New Roman" w:hAnsi="Times New Roman" w:eastAsia="仿宋_GB2312" w:cs="Times New Roman"/>
          <w:sz w:val="28"/>
          <w:szCs w:val="28"/>
        </w:rPr>
        <w:t>直立的稻茬和覆盖地表的秸秆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）一起</w:t>
      </w:r>
      <w:r>
        <w:rPr>
          <w:rFonts w:ascii="Times New Roman" w:hAnsi="Times New Roman" w:eastAsia="仿宋_GB2312" w:cs="Times New Roman"/>
          <w:sz w:val="28"/>
          <w:szCs w:val="28"/>
        </w:rPr>
        <w:t>翻压还田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</w:t>
      </w:r>
      <w:r>
        <w:rPr>
          <w:rFonts w:ascii="Times New Roman" w:hAnsi="Times New Roman" w:eastAsia="仿宋_GB2312" w:cs="Times New Roman"/>
          <w:sz w:val="28"/>
          <w:szCs w:val="28"/>
        </w:rPr>
        <w:t>图2），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低肥力</w:t>
      </w:r>
      <w:r>
        <w:rPr>
          <w:rFonts w:ascii="Times New Roman" w:hAnsi="Times New Roman" w:eastAsia="仿宋_GB2312" w:cs="Times New Roman"/>
          <w:sz w:val="28"/>
          <w:szCs w:val="28"/>
        </w:rPr>
        <w:t>稻田应全部还田，中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高肥力稻田绿肥翻压量</w:t>
      </w:r>
      <w:r>
        <w:rPr>
          <w:rFonts w:ascii="Times New Roman" w:hAnsi="Times New Roman" w:eastAsia="仿宋_GB2312" w:cs="Times New Roman"/>
          <w:sz w:val="28"/>
          <w:szCs w:val="28"/>
        </w:rPr>
        <w:t>应控制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在22.5 t/hm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~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37.5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t/hm</w:t>
      </w:r>
      <w:r>
        <w:rPr>
          <w:rFonts w:hint="eastAsia"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多余</w:t>
      </w:r>
      <w:r>
        <w:rPr>
          <w:rFonts w:ascii="Times New Roman" w:hAnsi="Times New Roman" w:eastAsia="仿宋_GB2312" w:cs="Times New Roman"/>
          <w:sz w:val="28"/>
          <w:szCs w:val="28"/>
        </w:rPr>
        <w:t>绿肥可移至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其他</w:t>
      </w:r>
      <w:r>
        <w:rPr>
          <w:rFonts w:ascii="Times New Roman" w:hAnsi="Times New Roman" w:eastAsia="仿宋_GB2312" w:cs="Times New Roman"/>
          <w:sz w:val="28"/>
          <w:szCs w:val="28"/>
        </w:rPr>
        <w:t>田块使用，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翻压深度为15</w:t>
      </w:r>
      <w:r>
        <w:rPr>
          <w:rFonts w:ascii="Times New Roman" w:hAnsi="Times New Roman" w:eastAsia="仿宋_GB2312" w:cs="Times New Roman"/>
          <w:sz w:val="28"/>
          <w:szCs w:val="28"/>
        </w:rPr>
        <w:t>~20 cm。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根据田块</w:t>
      </w:r>
      <w:r>
        <w:rPr>
          <w:rFonts w:ascii="Times New Roman" w:hAnsi="Times New Roman" w:eastAsia="仿宋_GB2312" w:cs="Times New Roman"/>
          <w:sz w:val="28"/>
          <w:szCs w:val="28"/>
        </w:rPr>
        <w:t>pH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值</w:t>
      </w:r>
      <w:r>
        <w:rPr>
          <w:rFonts w:ascii="Times New Roman" w:hAnsi="Times New Roman" w:eastAsia="仿宋_GB2312" w:cs="Times New Roman"/>
          <w:sz w:val="28"/>
          <w:szCs w:val="28"/>
        </w:rPr>
        <w:t>，建议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翻压</w:t>
      </w:r>
      <w:r>
        <w:rPr>
          <w:rFonts w:ascii="Times New Roman" w:hAnsi="Times New Roman" w:eastAsia="仿宋_GB2312" w:cs="Times New Roman"/>
          <w:sz w:val="28"/>
          <w:szCs w:val="28"/>
        </w:rPr>
        <w:t>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配施</w:t>
      </w:r>
      <w:r>
        <w:rPr>
          <w:rFonts w:ascii="Times New Roman" w:hAnsi="Times New Roman" w:eastAsia="仿宋_GB2312" w:cs="Times New Roman"/>
          <w:sz w:val="28"/>
          <w:szCs w:val="28"/>
        </w:rPr>
        <w:t>生石灰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375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~750 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kg/hm</w:t>
      </w:r>
      <w:r>
        <w:rPr>
          <w:rFonts w:hint="eastAsia"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2、干耕</w:t>
      </w:r>
      <w:r>
        <w:rPr>
          <w:rFonts w:ascii="Times New Roman" w:hAnsi="Times New Roman" w:eastAsia="仿宋_GB2312" w:cs="Times New Roman"/>
          <w:b/>
          <w:sz w:val="28"/>
          <w:szCs w:val="28"/>
        </w:rPr>
        <w:t>湿沤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绿肥翻压还田</w:t>
      </w:r>
      <w:r>
        <w:rPr>
          <w:rFonts w:ascii="Times New Roman" w:hAnsi="Times New Roman" w:eastAsia="仿宋_GB2312" w:cs="Times New Roman"/>
          <w:sz w:val="28"/>
          <w:szCs w:val="28"/>
        </w:rPr>
        <w:t>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应尽量选择无降雨天气，</w:t>
      </w:r>
      <w:r>
        <w:rPr>
          <w:rFonts w:ascii="Times New Roman" w:hAnsi="Times New Roman" w:eastAsia="仿宋_GB2312" w:cs="Times New Roman"/>
          <w:sz w:val="28"/>
          <w:szCs w:val="28"/>
        </w:rPr>
        <w:t>采用粉碎翻压复式作业机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将绿肥</w:t>
      </w:r>
      <w:r>
        <w:rPr>
          <w:rFonts w:ascii="Times New Roman" w:hAnsi="Times New Roman" w:eastAsia="仿宋_GB2312" w:cs="Times New Roman"/>
          <w:sz w:val="28"/>
          <w:szCs w:val="28"/>
        </w:rPr>
        <w:t>干耕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还田（</w:t>
      </w:r>
      <w:r>
        <w:rPr>
          <w:rFonts w:ascii="Times New Roman" w:hAnsi="Times New Roman" w:eastAsia="仿宋_GB2312" w:cs="Times New Roman"/>
          <w:sz w:val="28"/>
          <w:szCs w:val="28"/>
        </w:rPr>
        <w:t>图2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还田</w:t>
      </w:r>
      <w:r>
        <w:rPr>
          <w:rFonts w:ascii="Times New Roman" w:hAnsi="Times New Roman" w:eastAsia="仿宋_GB2312" w:cs="Times New Roman"/>
          <w:sz w:val="28"/>
          <w:szCs w:val="28"/>
        </w:rPr>
        <w:t>后晒垡5~10天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再</w:t>
      </w:r>
      <w:r>
        <w:rPr>
          <w:rFonts w:ascii="Times New Roman" w:hAnsi="Times New Roman" w:eastAsia="仿宋_GB2312" w:cs="Times New Roman"/>
          <w:sz w:val="28"/>
          <w:szCs w:val="28"/>
        </w:rPr>
        <w:t>灌浅水沤肥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，沤田5</w:t>
      </w:r>
      <w:r>
        <w:rPr>
          <w:rFonts w:ascii="Times New Roman" w:hAnsi="Times New Roman" w:eastAsia="仿宋_GB2312" w:cs="Times New Roman"/>
          <w:sz w:val="28"/>
          <w:szCs w:val="28"/>
        </w:rPr>
        <w:t>天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以上再</w:t>
      </w:r>
      <w:r>
        <w:rPr>
          <w:rFonts w:ascii="Times New Roman" w:hAnsi="Times New Roman" w:eastAsia="仿宋_GB2312" w:cs="Times New Roman"/>
          <w:sz w:val="28"/>
          <w:szCs w:val="28"/>
        </w:rPr>
        <w:t>进行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秧苗</w:t>
      </w:r>
      <w:r>
        <w:rPr>
          <w:rFonts w:ascii="Times New Roman" w:hAnsi="Times New Roman" w:eastAsia="仿宋_GB2312" w:cs="Times New Roman"/>
          <w:sz w:val="28"/>
          <w:szCs w:val="28"/>
        </w:rPr>
        <w:t>移栽。</w:t>
      </w:r>
    </w:p>
    <w:p>
      <w:pPr>
        <w:snapToGrid w:val="0"/>
        <w:rPr>
          <w:rFonts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91435" cy="1943735"/>
            <wp:effectExtent l="0" t="0" r="0" b="0"/>
            <wp:docPr id="7" name="图片 7" descr="C:\Users\Scccccc\Desktop\紫云英 油菜混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cccccc\Desktop\紫云英 油菜混播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91435" cy="1943735"/>
            <wp:effectExtent l="0" t="0" r="0" b="0"/>
            <wp:docPr id="9" name="图片 9" descr="C:\Users\Scccccc\Desktop\微信图片_2022110818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cccccc\Desktop\微信图片_20221108182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600" w:lineRule="exact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图2 紫云英</w:t>
      </w:r>
      <w:r>
        <w:rPr>
          <w:rFonts w:ascii="Times New Roman" w:hAnsi="Times New Roman" w:eastAsia="仿宋_GB2312" w:cs="Times New Roman"/>
          <w:sz w:val="28"/>
          <w:szCs w:val="28"/>
        </w:rPr>
        <w:t>+肥用油菜混播盛花期（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左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、绿肥干耕</w:t>
      </w:r>
      <w:r>
        <w:rPr>
          <w:rFonts w:ascii="Times New Roman" w:hAnsi="Times New Roman" w:eastAsia="仿宋_GB2312" w:cs="Times New Roman"/>
          <w:sz w:val="28"/>
          <w:szCs w:val="28"/>
        </w:rPr>
        <w:t>还田（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右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3、施用</w:t>
      </w:r>
      <w:r>
        <w:rPr>
          <w:rFonts w:ascii="Times New Roman" w:hAnsi="Times New Roman" w:eastAsia="仿宋_GB2312" w:cs="Times New Roman"/>
          <w:b/>
          <w:sz w:val="28"/>
          <w:szCs w:val="28"/>
        </w:rPr>
        <w:t>减排产品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若绿肥翻压期恰逢连续降雨，无条件开展干耕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晒垡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可在</w:t>
      </w: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翻压</w:t>
      </w:r>
      <w:r>
        <w:rPr>
          <w:rFonts w:ascii="Times New Roman" w:hAnsi="Times New Roman" w:eastAsia="仿宋_GB2312" w:cs="Times New Roman"/>
          <w:sz w:val="28"/>
          <w:szCs w:val="28"/>
        </w:rPr>
        <w:t>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施用</w:t>
      </w:r>
      <w:r>
        <w:rPr>
          <w:rFonts w:ascii="Times New Roman" w:hAnsi="Times New Roman" w:eastAsia="仿宋_GB2312" w:cs="Times New Roman"/>
          <w:sz w:val="28"/>
          <w:szCs w:val="28"/>
        </w:rPr>
        <w:t>减排产品，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根据绿肥翻压</w:t>
      </w:r>
      <w:r>
        <w:rPr>
          <w:rFonts w:ascii="Times New Roman" w:hAnsi="Times New Roman" w:eastAsia="仿宋_GB2312" w:cs="Times New Roman"/>
          <w:sz w:val="28"/>
          <w:szCs w:val="28"/>
        </w:rPr>
        <w:t>量的大小每亩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施用1.</w:t>
      </w:r>
      <w:r>
        <w:rPr>
          <w:rFonts w:ascii="Times New Roman" w:hAnsi="Times New Roman" w:eastAsia="仿宋_GB2312" w:cs="Times New Roman"/>
          <w:sz w:val="28"/>
          <w:szCs w:val="28"/>
        </w:rPr>
        <w:t>0~2.0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</w:t>
      </w:r>
      <w:r>
        <w:rPr>
          <w:rFonts w:ascii="Times New Roman" w:hAnsi="Times New Roman" w:eastAsia="仿宋_GB2312" w:cs="Times New Roman"/>
          <w:sz w:val="28"/>
          <w:szCs w:val="28"/>
        </w:rPr>
        <w:t>乙烯利或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2-氯乙基磺酸钠，施用</w:t>
      </w:r>
      <w:r>
        <w:rPr>
          <w:rFonts w:ascii="Times New Roman" w:hAnsi="Times New Roman" w:eastAsia="仿宋_GB2312" w:cs="Times New Roman"/>
          <w:sz w:val="28"/>
          <w:szCs w:val="28"/>
        </w:rPr>
        <w:t>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溶于水均匀喷施于地表。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hint="eastAsia" w:ascii="Times New Roman" w:hAnsi="Times New Roman" w:eastAsia="楷体"/>
          <w:b/>
          <w:sz w:val="32"/>
          <w:szCs w:val="32"/>
        </w:rPr>
        <w:t>（三）水稻</w:t>
      </w:r>
      <w:r>
        <w:rPr>
          <w:rFonts w:ascii="Times New Roman" w:hAnsi="Times New Roman" w:eastAsia="楷体"/>
          <w:b/>
          <w:sz w:val="32"/>
          <w:szCs w:val="32"/>
        </w:rPr>
        <w:t>种植技术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1、化肥减施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翻压</w:t>
      </w:r>
      <w:r>
        <w:rPr>
          <w:rFonts w:ascii="Times New Roman" w:hAnsi="Times New Roman" w:eastAsia="仿宋_GB2312" w:cs="Times New Roman"/>
          <w:sz w:val="28"/>
          <w:szCs w:val="28"/>
        </w:rPr>
        <w:t>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为22.5 t/hm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~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37.5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t/hm</w:t>
      </w:r>
      <w:r>
        <w:rPr>
          <w:rFonts w:hint="eastAsia"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时</w:t>
      </w:r>
      <w:r>
        <w:rPr>
          <w:rFonts w:ascii="Times New Roman" w:hAnsi="Times New Roman" w:eastAsia="仿宋_GB2312" w:cs="Times New Roman"/>
          <w:sz w:val="28"/>
          <w:szCs w:val="28"/>
        </w:rPr>
        <w:t>，可减少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早稻季20</w:t>
      </w:r>
      <w:r>
        <w:rPr>
          <w:rFonts w:ascii="Times New Roman" w:hAnsi="Times New Roman" w:eastAsia="仿宋_GB2312" w:cs="Times New Roman"/>
          <w:sz w:val="28"/>
          <w:szCs w:val="28"/>
        </w:rPr>
        <w:t>%~40%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</w:t>
      </w:r>
      <w:r>
        <w:rPr>
          <w:rFonts w:ascii="Times New Roman" w:hAnsi="Times New Roman" w:eastAsia="仿宋_GB2312" w:cs="Times New Roman"/>
          <w:sz w:val="28"/>
          <w:szCs w:val="28"/>
        </w:rPr>
        <w:t>化肥用量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或者按照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每翻压</w:t>
      </w:r>
      <w:r>
        <w:rPr>
          <w:rFonts w:ascii="Times New Roman" w:hAnsi="Times New Roman" w:eastAsia="仿宋_GB2312" w:cs="Times New Roman"/>
          <w:sz w:val="28"/>
          <w:szCs w:val="28"/>
        </w:rPr>
        <w:t>1000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绿肥鲜草减施</w:t>
      </w:r>
      <w:r>
        <w:rPr>
          <w:rFonts w:ascii="Times New Roman" w:hAnsi="Times New Roman" w:eastAsia="仿宋_GB2312" w:cs="Times New Roman"/>
          <w:sz w:val="28"/>
          <w:szCs w:val="28"/>
        </w:rPr>
        <w:t>氮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（N）</w:t>
      </w:r>
      <w:r>
        <w:rPr>
          <w:rFonts w:ascii="Times New Roman" w:hAnsi="Times New Roman" w:eastAsia="仿宋_GB2312" w:cs="Times New Roman"/>
          <w:sz w:val="28"/>
          <w:szCs w:val="28"/>
        </w:rPr>
        <w:t>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、磷肥</w:t>
      </w:r>
      <w:r>
        <w:rPr>
          <w:rFonts w:ascii="Times New Roman" w:hAnsi="Times New Roman" w:eastAsia="仿宋_GB2312" w:cs="Times New Roman"/>
          <w:sz w:val="28"/>
          <w:szCs w:val="28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P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1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、钾肥（K</w:t>
      </w:r>
      <w:r>
        <w:rPr>
          <w:rFonts w:ascii="Times New Roman" w:hAnsi="Times New Roman" w:eastAsia="仿宋_GB2312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_GB2312" w:cs="Times New Roman"/>
          <w:sz w:val="28"/>
          <w:szCs w:val="28"/>
        </w:rPr>
        <w:t>O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）2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kg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进行。常年</w:t>
      </w:r>
      <w:r>
        <w:rPr>
          <w:rFonts w:ascii="Times New Roman" w:hAnsi="Times New Roman" w:eastAsia="仿宋_GB2312" w:cs="Times New Roman"/>
          <w:sz w:val="28"/>
          <w:szCs w:val="28"/>
        </w:rPr>
        <w:t>种植绿肥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肥力较高的田块，也可酌情减施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晚稻</w:t>
      </w:r>
      <w:r>
        <w:rPr>
          <w:rFonts w:ascii="Times New Roman" w:hAnsi="Times New Roman" w:eastAsia="仿宋_GB2312" w:cs="Times New Roman"/>
          <w:sz w:val="28"/>
          <w:szCs w:val="28"/>
        </w:rPr>
        <w:t>季化肥用量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10</w:t>
      </w:r>
      <w:r>
        <w:rPr>
          <w:rFonts w:ascii="Times New Roman" w:hAnsi="Times New Roman" w:eastAsia="仿宋_GB2312" w:cs="Times New Roman"/>
          <w:sz w:val="28"/>
          <w:szCs w:val="28"/>
        </w:rPr>
        <w:t>%~20%。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2、优化肥料</w:t>
      </w:r>
      <w:r>
        <w:rPr>
          <w:rFonts w:ascii="Times New Roman" w:hAnsi="Times New Roman" w:eastAsia="仿宋_GB2312" w:cs="Times New Roman"/>
          <w:b/>
          <w:sz w:val="28"/>
          <w:szCs w:val="28"/>
        </w:rPr>
        <w:t>运筹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除了</w:t>
      </w:r>
      <w:r>
        <w:rPr>
          <w:rFonts w:ascii="Times New Roman" w:hAnsi="Times New Roman" w:eastAsia="仿宋_GB2312" w:cs="Times New Roman"/>
          <w:sz w:val="28"/>
          <w:szCs w:val="28"/>
        </w:rPr>
        <w:t>前移至绿肥季施用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</w:t>
      </w:r>
      <w:r>
        <w:rPr>
          <w:rFonts w:ascii="Times New Roman" w:hAnsi="Times New Roman" w:eastAsia="仿宋_GB2312" w:cs="Times New Roman"/>
          <w:sz w:val="28"/>
          <w:szCs w:val="28"/>
        </w:rPr>
        <w:t>部分磷肥外，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早稻</w:t>
      </w:r>
      <w:r>
        <w:rPr>
          <w:rFonts w:ascii="Times New Roman" w:hAnsi="Times New Roman" w:eastAsia="仿宋_GB2312" w:cs="Times New Roman"/>
          <w:sz w:val="28"/>
          <w:szCs w:val="28"/>
        </w:rPr>
        <w:t>季剩余磷肥正常基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施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可</w:t>
      </w:r>
      <w:r>
        <w:rPr>
          <w:rFonts w:ascii="Times New Roman" w:hAnsi="Times New Roman" w:eastAsia="仿宋_GB2312" w:cs="Times New Roman"/>
          <w:sz w:val="28"/>
          <w:szCs w:val="28"/>
        </w:rPr>
        <w:t>根据绿肥翻压量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适当</w:t>
      </w:r>
      <w:r>
        <w:rPr>
          <w:rFonts w:ascii="Times New Roman" w:hAnsi="Times New Roman" w:eastAsia="仿宋_GB2312" w:cs="Times New Roman"/>
          <w:sz w:val="28"/>
          <w:szCs w:val="28"/>
        </w:rPr>
        <w:t>减少早稻季氮肥和钾肥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</w:t>
      </w:r>
      <w:r>
        <w:rPr>
          <w:rFonts w:ascii="Times New Roman" w:hAnsi="Times New Roman" w:eastAsia="仿宋_GB2312" w:cs="Times New Roman"/>
          <w:sz w:val="28"/>
          <w:szCs w:val="28"/>
        </w:rPr>
        <w:t>基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施</w:t>
      </w:r>
      <w:r>
        <w:rPr>
          <w:rFonts w:ascii="Times New Roman" w:hAnsi="Times New Roman" w:eastAsia="仿宋_GB2312" w:cs="Times New Roman"/>
          <w:sz w:val="28"/>
          <w:szCs w:val="28"/>
        </w:rPr>
        <w:t>比例，后移至分蘖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期</w:t>
      </w:r>
      <w:r>
        <w:rPr>
          <w:rFonts w:ascii="Times New Roman" w:hAnsi="Times New Roman" w:eastAsia="仿宋_GB2312" w:cs="Times New Roman"/>
          <w:sz w:val="28"/>
          <w:szCs w:val="28"/>
        </w:rPr>
        <w:t>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抽穗期</w:t>
      </w:r>
      <w:r>
        <w:rPr>
          <w:rFonts w:ascii="Times New Roman" w:hAnsi="Times New Roman" w:eastAsia="仿宋_GB2312" w:cs="Times New Roman"/>
          <w:sz w:val="28"/>
          <w:szCs w:val="28"/>
        </w:rPr>
        <w:t>施用。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晚稻</w:t>
      </w:r>
      <w:r>
        <w:rPr>
          <w:rFonts w:ascii="Times New Roman" w:hAnsi="Times New Roman" w:eastAsia="仿宋_GB2312" w:cs="Times New Roman"/>
          <w:sz w:val="28"/>
          <w:szCs w:val="28"/>
        </w:rPr>
        <w:t>季化肥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运筹</w:t>
      </w:r>
      <w:r>
        <w:rPr>
          <w:rFonts w:ascii="Times New Roman" w:hAnsi="Times New Roman" w:eastAsia="仿宋_GB2312" w:cs="Times New Roman"/>
          <w:sz w:val="28"/>
          <w:szCs w:val="28"/>
        </w:rPr>
        <w:t>方式按各地习惯进行。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hint="eastAsia" w:ascii="Times New Roman" w:hAnsi="Times New Roman" w:eastAsia="楷体"/>
          <w:b/>
          <w:sz w:val="32"/>
          <w:szCs w:val="32"/>
        </w:rPr>
        <w:t>（四）稻田精准控水扩容和沟塘拦蓄净化技术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合理构建田</w:t>
      </w:r>
      <w:r>
        <w:rPr>
          <w:rFonts w:ascii="Times New Roman" w:hAnsi="Times New Roman" w:eastAsia="仿宋_GB2312" w:cs="Times New Roman"/>
          <w:sz w:val="28"/>
          <w:szCs w:val="28"/>
        </w:rPr>
        <w:t>-沟-塘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生态</w:t>
      </w:r>
      <w:r>
        <w:rPr>
          <w:rFonts w:ascii="Times New Roman" w:hAnsi="Times New Roman" w:eastAsia="仿宋_GB2312" w:cs="Times New Roman"/>
          <w:sz w:val="28"/>
          <w:szCs w:val="28"/>
        </w:rPr>
        <w:t>系统，沟、塘面积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约占</w:t>
      </w:r>
      <w:r>
        <w:rPr>
          <w:rFonts w:ascii="Times New Roman" w:hAnsi="Times New Roman" w:eastAsia="仿宋_GB2312" w:cs="Times New Roman"/>
          <w:sz w:val="28"/>
          <w:szCs w:val="28"/>
        </w:rPr>
        <w:t>系统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总面</w:t>
      </w:r>
      <w:r>
        <w:rPr>
          <w:rFonts w:ascii="Times New Roman" w:hAnsi="Times New Roman" w:eastAsia="仿宋_GB2312" w:cs="Times New Roman"/>
          <w:sz w:val="28"/>
          <w:szCs w:val="28"/>
        </w:rPr>
        <w:t>积5%~10%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（图3）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早</w:t>
      </w:r>
      <w:r>
        <w:rPr>
          <w:rFonts w:ascii="Times New Roman" w:hAnsi="Times New Roman" w:eastAsia="仿宋_GB2312" w:cs="Times New Roman"/>
          <w:sz w:val="28"/>
          <w:szCs w:val="28"/>
        </w:rPr>
        <w:t>、晚稻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生育期实行节水灌溉，稻田低水位运行，</w:t>
      </w:r>
      <w:r>
        <w:rPr>
          <w:rFonts w:ascii="Times New Roman" w:hAnsi="Times New Roman" w:eastAsia="仿宋_GB2312" w:cs="Times New Roman"/>
          <w:sz w:val="28"/>
          <w:szCs w:val="28"/>
        </w:rPr>
        <w:t>减少径流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；降水期间，在水稻耐淹能力（由水稻不同生育阶段的耐淹水深和耐淹历时确定）范围内高水位运行，充分蓄水。</w:t>
      </w:r>
      <w:r>
        <w:rPr>
          <w:rFonts w:ascii="Times New Roman" w:hAnsi="Times New Roman" w:eastAsia="仿宋_GB2312" w:cs="Times New Roman"/>
          <w:sz w:val="28"/>
          <w:szCs w:val="28"/>
        </w:rPr>
        <w:t>每次施肥后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的</w:t>
      </w:r>
      <w:r>
        <w:rPr>
          <w:rFonts w:ascii="Times New Roman" w:hAnsi="Times New Roman" w:eastAsia="仿宋_GB2312" w:cs="Times New Roman"/>
          <w:sz w:val="28"/>
          <w:szCs w:val="28"/>
        </w:rPr>
        <w:t>前7 d是氮磷流失的关键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防</w:t>
      </w:r>
      <w:r>
        <w:rPr>
          <w:rFonts w:ascii="Times New Roman" w:hAnsi="Times New Roman" w:eastAsia="仿宋_GB2312" w:cs="Times New Roman"/>
          <w:sz w:val="28"/>
          <w:szCs w:val="28"/>
        </w:rPr>
        <w:t>控期，应将排水口排水高度调至最高，在不影响水稻正常生长的前提下，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不</w:t>
      </w:r>
      <w:r>
        <w:rPr>
          <w:rFonts w:ascii="Times New Roman" w:hAnsi="Times New Roman" w:eastAsia="仿宋_GB2312" w:cs="Times New Roman"/>
          <w:sz w:val="28"/>
          <w:szCs w:val="28"/>
        </w:rPr>
        <w:t>排水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或</w:t>
      </w:r>
      <w:r>
        <w:rPr>
          <w:rFonts w:ascii="Times New Roman" w:hAnsi="Times New Roman" w:eastAsia="仿宋_GB2312" w:cs="Times New Roman"/>
          <w:sz w:val="28"/>
          <w:szCs w:val="28"/>
        </w:rPr>
        <w:t>少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排水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稻田库容不足确需排水时，优先排入沟渠其次为塘。</w:t>
      </w:r>
      <w:r>
        <w:rPr>
          <w:rFonts w:ascii="Times New Roman" w:hAnsi="Times New Roman" w:eastAsia="仿宋_GB2312" w:cs="Times New Roman"/>
          <w:sz w:val="28"/>
          <w:szCs w:val="28"/>
        </w:rPr>
        <w:t>风险期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时</w:t>
      </w:r>
      <w:r>
        <w:rPr>
          <w:rFonts w:ascii="Times New Roman" w:hAnsi="Times New Roman" w:eastAsia="仿宋_GB2312" w:cs="Times New Roman"/>
          <w:sz w:val="28"/>
          <w:szCs w:val="28"/>
        </w:rPr>
        <w:t>，当沟、塘剩余库容不足时，提前1~2 d排放低浓度的沟、塘存水，腾出库容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  <w:r>
        <w:rPr>
          <w:rFonts w:ascii="Times New Roman" w:hAnsi="Times New Roman" w:eastAsia="仿宋_GB2312" w:cs="Times New Roman"/>
          <w:sz w:val="28"/>
          <w:szCs w:val="28"/>
        </w:rPr>
        <w:t>当稻田需要补水时，优先泵取沟、塘存水进行农田循环灌溉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。通过稻田精准控水扩容和沟塘拦蓄净化，可</w:t>
      </w:r>
      <w:r>
        <w:rPr>
          <w:rFonts w:ascii="Times New Roman" w:hAnsi="Times New Roman" w:eastAsia="仿宋_GB2312" w:cs="Times New Roman"/>
          <w:sz w:val="28"/>
          <w:szCs w:val="28"/>
        </w:rPr>
        <w:t>延长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田</w:t>
      </w:r>
      <w:r>
        <w:rPr>
          <w:rFonts w:ascii="Times New Roman" w:hAnsi="Times New Roman" w:eastAsia="仿宋_GB2312" w:cs="Times New Roman"/>
          <w:sz w:val="28"/>
          <w:szCs w:val="28"/>
        </w:rPr>
        <w:t>-沟-塘水力停留时间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，实现拦蓄净化和循环</w:t>
      </w:r>
      <w:r>
        <w:rPr>
          <w:rFonts w:ascii="Times New Roman" w:hAnsi="Times New Roman" w:eastAsia="仿宋_GB2312" w:cs="Times New Roman"/>
          <w:sz w:val="28"/>
          <w:szCs w:val="28"/>
        </w:rPr>
        <w:t>利用，有效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防控双季稻</w:t>
      </w:r>
      <w:r>
        <w:rPr>
          <w:rFonts w:ascii="Times New Roman" w:hAnsi="Times New Roman" w:eastAsia="仿宋_GB2312" w:cs="Times New Roman"/>
          <w:sz w:val="28"/>
          <w:szCs w:val="28"/>
        </w:rPr>
        <w:t>田氮磷流失。</w:t>
      </w:r>
    </w:p>
    <w:p>
      <w:pPr>
        <w:snapToGrid w:val="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4318635" cy="2879725"/>
            <wp:effectExtent l="0" t="0" r="5715" b="0"/>
            <wp:docPr id="13" name="图片 13" descr="D:\Play\影音视频\Photo\江西省农业科学院+所有试验照片\高安基地照片\无人机航拍-2022.10.22刘晗\微信图片_20221022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Play\影音视频\Photo\江西省农业科学院+所有试验照片\高安基地照片\无人机航拍-2022.10.22刘晗\微信图片_20221022141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0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600" w:lineRule="exact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图3 田</w:t>
      </w:r>
      <w:r>
        <w:rPr>
          <w:rFonts w:ascii="Times New Roman" w:hAnsi="Times New Roman" w:eastAsia="仿宋_GB2312" w:cs="Times New Roman"/>
          <w:sz w:val="28"/>
          <w:szCs w:val="28"/>
        </w:rPr>
        <w:t>-沟-塘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生态</w:t>
      </w:r>
      <w:r>
        <w:rPr>
          <w:rFonts w:ascii="Times New Roman" w:hAnsi="Times New Roman" w:eastAsia="仿宋_GB2312" w:cs="Times New Roman"/>
          <w:sz w:val="28"/>
          <w:szCs w:val="28"/>
        </w:rPr>
        <w:t>系统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（江西</w:t>
      </w:r>
      <w:r>
        <w:rPr>
          <w:rFonts w:ascii="Times New Roman" w:hAnsi="Times New Roman" w:eastAsia="仿宋_GB2312" w:cs="Times New Roman"/>
          <w:sz w:val="28"/>
          <w:szCs w:val="28"/>
        </w:rPr>
        <w:t>高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安）</w:t>
      </w:r>
    </w:p>
    <w:p>
      <w:pPr>
        <w:snapToGrid w:val="0"/>
        <w:spacing w:line="560" w:lineRule="exact"/>
        <w:ind w:firstLine="643" w:firstLineChars="200"/>
        <w:rPr>
          <w:rFonts w:ascii="Times New Roman" w:hAnsi="Times New Roman" w:eastAsia="楷体"/>
          <w:b/>
          <w:sz w:val="32"/>
          <w:szCs w:val="32"/>
        </w:rPr>
      </w:pPr>
      <w:r>
        <w:rPr>
          <w:rFonts w:hint="eastAsia" w:ascii="Times New Roman" w:hAnsi="Times New Roman" w:eastAsia="楷体"/>
          <w:b/>
          <w:sz w:val="32"/>
          <w:szCs w:val="32"/>
        </w:rPr>
        <w:t>（五）配套</w:t>
      </w:r>
      <w:r>
        <w:rPr>
          <w:rFonts w:ascii="Times New Roman" w:hAnsi="Times New Roman" w:eastAsia="楷体"/>
          <w:b/>
          <w:sz w:val="32"/>
          <w:szCs w:val="32"/>
        </w:rPr>
        <w:t>技术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1、品种</w:t>
      </w:r>
      <w:r>
        <w:rPr>
          <w:rFonts w:ascii="Times New Roman" w:hAnsi="Times New Roman" w:eastAsia="仿宋_GB2312" w:cs="Times New Roman"/>
          <w:b/>
          <w:sz w:val="28"/>
          <w:szCs w:val="28"/>
        </w:rPr>
        <w:t>选择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宜选择抗逆性</w:t>
      </w:r>
      <w:r>
        <w:rPr>
          <w:rFonts w:ascii="Times New Roman" w:hAnsi="Times New Roman" w:eastAsia="仿宋_GB2312" w:cs="Times New Roman"/>
          <w:sz w:val="28"/>
          <w:szCs w:val="28"/>
        </w:rPr>
        <w:t>强、生物量大的中晚熟品种；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水稻</w:t>
      </w:r>
      <w:r>
        <w:rPr>
          <w:rFonts w:ascii="Times New Roman" w:hAnsi="Times New Roman" w:eastAsia="仿宋_GB2312" w:cs="Times New Roman"/>
          <w:sz w:val="28"/>
          <w:szCs w:val="28"/>
        </w:rPr>
        <w:t>宜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选择抗病虫害能力强、</w:t>
      </w:r>
      <w:r>
        <w:rPr>
          <w:rFonts w:ascii="Times New Roman" w:hAnsi="Times New Roman" w:eastAsia="仿宋_GB2312" w:cs="Times New Roman"/>
          <w:sz w:val="28"/>
          <w:szCs w:val="28"/>
        </w:rPr>
        <w:t>耐淹水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养分利用效率高的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中早熟品种。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2、缓控释</w:t>
      </w:r>
      <w:r>
        <w:rPr>
          <w:rFonts w:ascii="Times New Roman" w:hAnsi="Times New Roman" w:eastAsia="仿宋_GB2312" w:cs="Times New Roman"/>
          <w:b/>
          <w:sz w:val="28"/>
          <w:szCs w:val="28"/>
        </w:rPr>
        <w:t>肥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应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用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有条件</w:t>
      </w:r>
      <w:r>
        <w:rPr>
          <w:rFonts w:ascii="Times New Roman" w:hAnsi="Times New Roman" w:eastAsia="仿宋_GB2312" w:cs="Times New Roman"/>
          <w:sz w:val="28"/>
          <w:szCs w:val="28"/>
        </w:rPr>
        <w:t>时可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选用含</w:t>
      </w:r>
      <w:r>
        <w:rPr>
          <w:rFonts w:ascii="Times New Roman" w:hAnsi="Times New Roman" w:eastAsia="仿宋_GB2312" w:cs="Times New Roman"/>
          <w:sz w:val="28"/>
          <w:szCs w:val="28"/>
        </w:rPr>
        <w:t>氮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（N）</w:t>
      </w:r>
      <w:r>
        <w:rPr>
          <w:rFonts w:ascii="Times New Roman" w:hAnsi="Times New Roman" w:eastAsia="仿宋_GB2312" w:cs="Times New Roman"/>
          <w:sz w:val="28"/>
          <w:szCs w:val="28"/>
        </w:rPr>
        <w:t>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高、释放期为80~90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d的缓控释氮肥产品，肥料</w:t>
      </w:r>
      <w:r>
        <w:rPr>
          <w:rFonts w:ascii="Times New Roman" w:hAnsi="Times New Roman" w:eastAsia="仿宋_GB2312" w:cs="Times New Roman"/>
          <w:sz w:val="28"/>
          <w:szCs w:val="28"/>
        </w:rPr>
        <w:t>施用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方式</w:t>
      </w:r>
      <w:r>
        <w:rPr>
          <w:rFonts w:ascii="Times New Roman" w:hAnsi="Times New Roman" w:eastAsia="仿宋_GB2312" w:cs="Times New Roman"/>
          <w:sz w:val="28"/>
          <w:szCs w:val="28"/>
        </w:rPr>
        <w:t>可采用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一次性</w:t>
      </w:r>
      <w:r>
        <w:rPr>
          <w:rFonts w:ascii="Times New Roman" w:hAnsi="Times New Roman" w:eastAsia="仿宋_GB2312" w:cs="Times New Roman"/>
          <w:sz w:val="28"/>
          <w:szCs w:val="28"/>
        </w:rPr>
        <w:t>侧深施肥。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3、早稻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秸秆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接菌调氮</w:t>
      </w:r>
      <w:r>
        <w:rPr>
          <w:rFonts w:ascii="Times New Roman" w:hAnsi="Times New Roman" w:eastAsia="仿宋_GB2312" w:cs="Times New Roman"/>
          <w:b/>
          <w:sz w:val="28"/>
          <w:szCs w:val="28"/>
        </w:rPr>
        <w:t>促腐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还田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早稻</w:t>
      </w:r>
      <w:r>
        <w:rPr>
          <w:rFonts w:ascii="Times New Roman" w:hAnsi="Times New Roman" w:eastAsia="仿宋_GB2312" w:cs="Times New Roman"/>
          <w:sz w:val="28"/>
          <w:szCs w:val="28"/>
        </w:rPr>
        <w:t>秸秆还田后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腐解</w:t>
      </w:r>
      <w:r>
        <w:rPr>
          <w:rFonts w:ascii="Times New Roman" w:hAnsi="Times New Roman" w:eastAsia="仿宋_GB2312" w:cs="Times New Roman"/>
          <w:sz w:val="28"/>
          <w:szCs w:val="28"/>
        </w:rPr>
        <w:t>慢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茬口短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会对晚稻秧苗生长及养分吸收产生不利影响，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可在</w:t>
      </w:r>
      <w:r>
        <w:rPr>
          <w:rFonts w:ascii="Times New Roman" w:hAnsi="Times New Roman" w:eastAsia="仿宋_GB2312" w:cs="Times New Roman"/>
          <w:sz w:val="28"/>
          <w:szCs w:val="28"/>
        </w:rPr>
        <w:t>还田时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喷施</w:t>
      </w:r>
      <w:r>
        <w:rPr>
          <w:rFonts w:ascii="Times New Roman" w:hAnsi="Times New Roman" w:eastAsia="仿宋_GB2312" w:cs="Times New Roman"/>
          <w:sz w:val="28"/>
          <w:szCs w:val="28"/>
        </w:rPr>
        <w:t>促腐菌剂，同时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根据土壤</w:t>
      </w:r>
      <w:r>
        <w:rPr>
          <w:rFonts w:ascii="Times New Roman" w:hAnsi="Times New Roman" w:eastAsia="仿宋_GB2312" w:cs="Times New Roman"/>
          <w:sz w:val="28"/>
          <w:szCs w:val="28"/>
        </w:rPr>
        <w:t>肥力状况将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部分</w:t>
      </w:r>
      <w:r>
        <w:rPr>
          <w:rFonts w:ascii="Times New Roman" w:hAnsi="Times New Roman" w:eastAsia="仿宋_GB2312" w:cs="Times New Roman"/>
          <w:sz w:val="28"/>
          <w:szCs w:val="28"/>
        </w:rPr>
        <w:t>晚稻基肥氮前移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，在</w:t>
      </w:r>
      <w:r>
        <w:rPr>
          <w:rFonts w:ascii="Times New Roman" w:hAnsi="Times New Roman" w:eastAsia="仿宋_GB2312" w:cs="Times New Roman"/>
          <w:sz w:val="28"/>
          <w:szCs w:val="28"/>
        </w:rPr>
        <w:t>早稻秸秆还田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时一起</w:t>
      </w:r>
      <w:r>
        <w:rPr>
          <w:rFonts w:ascii="Times New Roman" w:hAnsi="Times New Roman" w:eastAsia="仿宋_GB2312" w:cs="Times New Roman"/>
          <w:sz w:val="28"/>
          <w:szCs w:val="28"/>
        </w:rPr>
        <w:t>施用，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以</w:t>
      </w:r>
      <w:r>
        <w:rPr>
          <w:rFonts w:ascii="Times New Roman" w:hAnsi="Times New Roman" w:eastAsia="仿宋_GB2312" w:cs="Times New Roman"/>
          <w:sz w:val="28"/>
          <w:szCs w:val="28"/>
        </w:rPr>
        <w:t>促进早稻秸秆腐解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，增加</w:t>
      </w:r>
      <w:r>
        <w:rPr>
          <w:rFonts w:ascii="Times New Roman" w:hAnsi="Times New Roman" w:eastAsia="仿宋_GB2312" w:cs="Times New Roman"/>
          <w:sz w:val="28"/>
          <w:szCs w:val="28"/>
        </w:rPr>
        <w:t>土壤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腐殖质</w:t>
      </w:r>
      <w:r>
        <w:rPr>
          <w:rFonts w:ascii="Times New Roman" w:hAnsi="Times New Roman" w:eastAsia="仿宋_GB2312" w:cs="Times New Roman"/>
          <w:sz w:val="28"/>
          <w:szCs w:val="28"/>
        </w:rPr>
        <w:t>含量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增强土壤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对碳</w:t>
      </w:r>
      <w:r>
        <w:rPr>
          <w:rFonts w:ascii="Times New Roman" w:hAnsi="Times New Roman" w:eastAsia="仿宋_GB2312" w:cs="Times New Roman"/>
          <w:sz w:val="28"/>
          <w:szCs w:val="28"/>
        </w:rPr>
        <w:t>氮磷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养分</w:t>
      </w:r>
      <w:r>
        <w:rPr>
          <w:rFonts w:ascii="Times New Roman" w:hAnsi="Times New Roman" w:eastAsia="仿宋_GB2312" w:cs="Times New Roman"/>
          <w:sz w:val="28"/>
          <w:szCs w:val="28"/>
        </w:rPr>
        <w:t>的保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蓄能力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三、适宜区域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双季稻种植区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四、注意事项</w:t>
      </w:r>
    </w:p>
    <w:p>
      <w:pPr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双季稻田节肥增效与减排控污综合技术的关键核心在于：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b/>
          <w:sz w:val="28"/>
          <w:szCs w:val="28"/>
        </w:rPr>
        <w:t>1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种好绿肥。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足够</w:t>
      </w:r>
      <w:r>
        <w:rPr>
          <w:rFonts w:ascii="Times New Roman" w:hAnsi="Times New Roman" w:eastAsia="仿宋_GB2312" w:cs="Times New Roman"/>
          <w:sz w:val="28"/>
          <w:szCs w:val="28"/>
        </w:rPr>
        <w:t>的绿肥生物量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是</w:t>
      </w:r>
      <w:r>
        <w:rPr>
          <w:rFonts w:ascii="Times New Roman" w:hAnsi="Times New Roman" w:eastAsia="仿宋_GB2312" w:cs="Times New Roman"/>
          <w:sz w:val="28"/>
          <w:szCs w:val="28"/>
        </w:rPr>
        <w:t>其发挥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环境养分截获能力、</w:t>
      </w:r>
      <w:r>
        <w:rPr>
          <w:rFonts w:ascii="Times New Roman" w:hAnsi="Times New Roman" w:eastAsia="仿宋_GB2312" w:cs="Times New Roman"/>
          <w:sz w:val="28"/>
          <w:szCs w:val="28"/>
        </w:rPr>
        <w:t>替代化肥用量、提高养分利用效率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sz w:val="28"/>
          <w:szCs w:val="28"/>
        </w:rPr>
        <w:t>培肥稻田土壤、促进水稻增产的重要前提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。由于</w:t>
      </w:r>
      <w:r>
        <w:rPr>
          <w:rFonts w:ascii="Times New Roman" w:hAnsi="Times New Roman" w:eastAsia="仿宋_GB2312" w:cs="Times New Roman"/>
          <w:sz w:val="28"/>
          <w:szCs w:val="28"/>
        </w:rPr>
        <w:t>紫云英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等</w:t>
      </w: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不耐渍，南方冬季较多的雨水往往导致绿肥出苗差</w:t>
      </w:r>
      <w:r>
        <w:rPr>
          <w:rFonts w:ascii="Times New Roman" w:hAnsi="Times New Roman" w:eastAsia="仿宋_GB2312" w:cs="Times New Roman"/>
          <w:sz w:val="28"/>
          <w:szCs w:val="28"/>
        </w:rPr>
        <w:t>、长势弱，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因此要在</w:t>
      </w: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播种前后</w:t>
      </w:r>
      <w:r>
        <w:rPr>
          <w:rFonts w:ascii="Times New Roman" w:hAnsi="Times New Roman" w:eastAsia="仿宋_GB2312" w:cs="Times New Roman"/>
          <w:sz w:val="28"/>
          <w:szCs w:val="28"/>
        </w:rPr>
        <w:t>对田块及时开沟，以保障绿肥生长。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另外</w:t>
      </w:r>
      <w:r>
        <w:rPr>
          <w:rFonts w:ascii="Times New Roman" w:hAnsi="Times New Roman" w:eastAsia="仿宋_GB2312" w:cs="Times New Roman"/>
          <w:sz w:val="28"/>
          <w:szCs w:val="28"/>
        </w:rPr>
        <w:t>还要合理运用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磷肥前移拌种、绿肥多科属配置、晚稻留高茬收获等</w:t>
      </w:r>
      <w:r>
        <w:rPr>
          <w:rFonts w:ascii="Times New Roman" w:hAnsi="Times New Roman" w:eastAsia="仿宋_GB2312" w:cs="Times New Roman"/>
          <w:sz w:val="28"/>
          <w:szCs w:val="28"/>
        </w:rPr>
        <w:t>技术措施，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在</w:t>
      </w:r>
      <w:r>
        <w:rPr>
          <w:rFonts w:ascii="Times New Roman" w:hAnsi="Times New Roman" w:eastAsia="仿宋_GB2312" w:cs="Times New Roman"/>
          <w:sz w:val="28"/>
          <w:szCs w:val="28"/>
        </w:rPr>
        <w:t>不增加物质投入的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基础</w:t>
      </w:r>
      <w:r>
        <w:rPr>
          <w:rFonts w:ascii="Times New Roman" w:hAnsi="Times New Roman" w:eastAsia="仿宋_GB2312" w:cs="Times New Roman"/>
          <w:sz w:val="28"/>
          <w:szCs w:val="28"/>
        </w:rPr>
        <w:t>上，利用好稻田现有资源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改善</w:t>
      </w:r>
      <w:r>
        <w:rPr>
          <w:rFonts w:ascii="Times New Roman" w:hAnsi="Times New Roman" w:eastAsia="仿宋_GB2312" w:cs="Times New Roman"/>
          <w:sz w:val="28"/>
          <w:szCs w:val="28"/>
        </w:rPr>
        <w:t>绿肥生长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环境</w:t>
      </w:r>
      <w:r>
        <w:rPr>
          <w:rFonts w:ascii="Times New Roman" w:hAnsi="Times New Roman" w:eastAsia="仿宋_GB2312" w:cs="Times New Roman"/>
          <w:sz w:val="28"/>
          <w:szCs w:val="28"/>
        </w:rPr>
        <w:t>、促进绿肥生长。</w:t>
      </w:r>
    </w:p>
    <w:p>
      <w:pPr>
        <w:snapToGrid w:val="0"/>
        <w:spacing w:line="560" w:lineRule="exact"/>
        <w:ind w:firstLine="56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b/>
          <w:sz w:val="28"/>
          <w:szCs w:val="28"/>
        </w:rPr>
        <w:t>2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、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用好绿肥。</w:t>
      </w:r>
      <w:r>
        <w:rPr>
          <w:rFonts w:ascii="Times New Roman" w:hAnsi="Times New Roman" w:eastAsia="仿宋_GB2312" w:cs="Times New Roman"/>
          <w:sz w:val="28"/>
          <w:szCs w:val="28"/>
        </w:rPr>
        <w:t>绿肥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翻压</w:t>
      </w:r>
      <w:r>
        <w:rPr>
          <w:rFonts w:ascii="Times New Roman" w:hAnsi="Times New Roman" w:eastAsia="仿宋_GB2312" w:cs="Times New Roman"/>
          <w:sz w:val="28"/>
          <w:szCs w:val="28"/>
        </w:rPr>
        <w:t>时一般处于盛花期，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植株</w:t>
      </w:r>
      <w:r>
        <w:rPr>
          <w:rFonts w:ascii="Times New Roman" w:hAnsi="Times New Roman" w:eastAsia="仿宋_GB2312" w:cs="Times New Roman"/>
          <w:sz w:val="28"/>
          <w:szCs w:val="28"/>
        </w:rPr>
        <w:t>体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鲜嫩</w:t>
      </w:r>
      <w:r>
        <w:rPr>
          <w:rFonts w:ascii="Times New Roman" w:hAnsi="Times New Roman" w:eastAsia="仿宋_GB2312" w:cs="Times New Roman"/>
          <w:sz w:val="28"/>
          <w:szCs w:val="28"/>
        </w:rPr>
        <w:t>多汁、养分含量高，翻压后极易腐解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并</w:t>
      </w:r>
      <w:r>
        <w:rPr>
          <w:rFonts w:ascii="Times New Roman" w:hAnsi="Times New Roman" w:eastAsia="仿宋_GB2312" w:cs="Times New Roman"/>
          <w:sz w:val="28"/>
          <w:szCs w:val="28"/>
        </w:rPr>
        <w:t>快速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释放养分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在</w:t>
      </w:r>
      <w:r>
        <w:rPr>
          <w:rFonts w:ascii="Times New Roman" w:hAnsi="Times New Roman" w:eastAsia="仿宋_GB2312" w:cs="Times New Roman"/>
          <w:sz w:val="28"/>
          <w:szCs w:val="28"/>
        </w:rPr>
        <w:t>淹水的情况下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会</w:t>
      </w:r>
      <w:r>
        <w:rPr>
          <w:rFonts w:ascii="Times New Roman" w:hAnsi="Times New Roman" w:eastAsia="仿宋_GB2312" w:cs="Times New Roman"/>
          <w:sz w:val="28"/>
          <w:szCs w:val="28"/>
        </w:rPr>
        <w:t>明显增加稻田甲烷排放，另外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也会</w:t>
      </w:r>
      <w:r>
        <w:rPr>
          <w:rFonts w:ascii="Times New Roman" w:hAnsi="Times New Roman" w:eastAsia="仿宋_GB2312" w:cs="Times New Roman"/>
          <w:sz w:val="28"/>
          <w:szCs w:val="28"/>
        </w:rPr>
        <w:t>增加田面水氮磷浓度，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加剧面源</w:t>
      </w:r>
      <w:r>
        <w:rPr>
          <w:rFonts w:ascii="Times New Roman" w:hAnsi="Times New Roman" w:eastAsia="仿宋_GB2312" w:cs="Times New Roman"/>
          <w:sz w:val="28"/>
          <w:szCs w:val="28"/>
        </w:rPr>
        <w:t>污染风险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，因此</w:t>
      </w:r>
      <w:r>
        <w:rPr>
          <w:rFonts w:ascii="Times New Roman" w:hAnsi="Times New Roman" w:eastAsia="仿宋_GB2312" w:cs="Times New Roman"/>
          <w:sz w:val="28"/>
          <w:szCs w:val="28"/>
        </w:rPr>
        <w:t>要注重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与</w:t>
      </w:r>
      <w:r>
        <w:rPr>
          <w:rFonts w:ascii="Times New Roman" w:hAnsi="Times New Roman" w:eastAsia="仿宋_GB2312" w:cs="Times New Roman"/>
          <w:sz w:val="28"/>
          <w:szCs w:val="28"/>
        </w:rPr>
        <w:t>稻秸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联合还田并</w:t>
      </w:r>
      <w:r>
        <w:rPr>
          <w:rFonts w:ascii="Times New Roman" w:hAnsi="Times New Roman" w:eastAsia="仿宋_GB2312" w:cs="Times New Roman"/>
          <w:sz w:val="28"/>
          <w:szCs w:val="28"/>
        </w:rPr>
        <w:t>尽量做到干耕晒垡，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必要时</w:t>
      </w:r>
      <w:r>
        <w:rPr>
          <w:rFonts w:ascii="Times New Roman" w:hAnsi="Times New Roman" w:eastAsia="仿宋_GB2312" w:cs="Times New Roman"/>
          <w:sz w:val="28"/>
          <w:szCs w:val="28"/>
        </w:rPr>
        <w:t>要注意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施用减排产品。绿肥</w:t>
      </w:r>
      <w:r>
        <w:rPr>
          <w:rFonts w:ascii="Times New Roman" w:hAnsi="Times New Roman" w:eastAsia="仿宋_GB2312" w:cs="Times New Roman"/>
          <w:sz w:val="28"/>
          <w:szCs w:val="28"/>
        </w:rPr>
        <w:t>翻压后还要根据翻压量合理减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施水稻</w:t>
      </w:r>
      <w:r>
        <w:rPr>
          <w:rFonts w:ascii="Times New Roman" w:hAnsi="Times New Roman" w:eastAsia="仿宋_GB2312" w:cs="Times New Roman"/>
          <w:sz w:val="28"/>
          <w:szCs w:val="28"/>
        </w:rPr>
        <w:t>化肥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用量</w:t>
      </w:r>
      <w:r>
        <w:rPr>
          <w:rFonts w:ascii="Times New Roman" w:hAnsi="Times New Roman" w:eastAsia="仿宋_GB2312" w:cs="Times New Roman"/>
          <w:sz w:val="28"/>
          <w:szCs w:val="28"/>
        </w:rPr>
        <w:t>并调整肥料运筹。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五、技术依托单位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1. 江西省农业科学院土壤肥料与资源环境研究所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联系地址：江西省南昌市青云谱区南莲路602号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邮政编码：330200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 系 人：刘佳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联系电话：15070036205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电子邮箱：liujia422@126.com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2. 江西省红壤及种质资源研究所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联系地址：江西省南昌市进贤县张公镇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邮政编码：331717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 系 人：钟义军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联系电话：13767126535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电子邮箱：250584304@qq.com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3. 江西省农业技术推广中心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联系地址：江西省南昌市文教路359号省农业检验检测综合大楼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邮政编码：330046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 系 人：朱安繁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联系电话：18970899270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仿宋_GB2312" w:hAnsi="仿宋_GB2312" w:eastAsia="仿宋_GB2312" w:cs="仿宋_GB2312"/>
          <w:color w:val="FF0000"/>
          <w:sz w:val="28"/>
          <w:szCs w:val="28"/>
          <w:highlight w:val="yellow"/>
        </w:rPr>
      </w:pPr>
      <w:r>
        <w:rPr>
          <w:rFonts w:ascii="Times New Roman" w:hAnsi="Times New Roman" w:eastAsia="仿宋_GB2312" w:cs="Times New Roman"/>
          <w:sz w:val="28"/>
          <w:szCs w:val="28"/>
        </w:rPr>
        <w:t>电子邮箱：zhuanfan@qq.com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98292654"/>
    </w:sdtPr>
    <w:sdtEndPr>
      <w:rPr>
        <w:rFonts w:ascii="Times New Roman" w:hAnsi="Times New Roman" w:cs="Times New Roman"/>
      </w:rPr>
    </w:sdtEndPr>
    <w:sdtContent>
      <w:p>
        <w:pPr>
          <w:pStyle w:val="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9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mY4OGU1ZDljNjVjOThiZjA2ZWVhMzcwOTBiZDcifQ=="/>
  </w:docVars>
  <w:rsids>
    <w:rsidRoot w:val="47307FD9"/>
    <w:rsid w:val="00000A3F"/>
    <w:rsid w:val="00001085"/>
    <w:rsid w:val="00001381"/>
    <w:rsid w:val="00003EE1"/>
    <w:rsid w:val="00004354"/>
    <w:rsid w:val="00004F9A"/>
    <w:rsid w:val="00010F0C"/>
    <w:rsid w:val="00012719"/>
    <w:rsid w:val="00014490"/>
    <w:rsid w:val="00016ABF"/>
    <w:rsid w:val="00016F6C"/>
    <w:rsid w:val="000207BC"/>
    <w:rsid w:val="00021755"/>
    <w:rsid w:val="00023004"/>
    <w:rsid w:val="00025D05"/>
    <w:rsid w:val="00027DDE"/>
    <w:rsid w:val="00031E89"/>
    <w:rsid w:val="000327C5"/>
    <w:rsid w:val="000345C2"/>
    <w:rsid w:val="00036ABD"/>
    <w:rsid w:val="0004268A"/>
    <w:rsid w:val="00042C9C"/>
    <w:rsid w:val="00044377"/>
    <w:rsid w:val="0005065F"/>
    <w:rsid w:val="00051809"/>
    <w:rsid w:val="0005394A"/>
    <w:rsid w:val="00055B66"/>
    <w:rsid w:val="00055BD3"/>
    <w:rsid w:val="00056B83"/>
    <w:rsid w:val="00057FD6"/>
    <w:rsid w:val="00061EB0"/>
    <w:rsid w:val="000645EF"/>
    <w:rsid w:val="000646C7"/>
    <w:rsid w:val="0006645F"/>
    <w:rsid w:val="000802C1"/>
    <w:rsid w:val="00083E7F"/>
    <w:rsid w:val="00085B61"/>
    <w:rsid w:val="00086E74"/>
    <w:rsid w:val="000873B0"/>
    <w:rsid w:val="0009268A"/>
    <w:rsid w:val="000927E0"/>
    <w:rsid w:val="00095A32"/>
    <w:rsid w:val="00096480"/>
    <w:rsid w:val="00096CF0"/>
    <w:rsid w:val="000A0AD2"/>
    <w:rsid w:val="000A3074"/>
    <w:rsid w:val="000A7142"/>
    <w:rsid w:val="000A74E7"/>
    <w:rsid w:val="000B05D0"/>
    <w:rsid w:val="000B59CB"/>
    <w:rsid w:val="000C0361"/>
    <w:rsid w:val="000C12A3"/>
    <w:rsid w:val="000C2235"/>
    <w:rsid w:val="000C5596"/>
    <w:rsid w:val="000D76AB"/>
    <w:rsid w:val="000E0201"/>
    <w:rsid w:val="000E075A"/>
    <w:rsid w:val="000E1044"/>
    <w:rsid w:val="000E10D0"/>
    <w:rsid w:val="000E526A"/>
    <w:rsid w:val="000F3022"/>
    <w:rsid w:val="00102F8C"/>
    <w:rsid w:val="00112955"/>
    <w:rsid w:val="00113144"/>
    <w:rsid w:val="001224B2"/>
    <w:rsid w:val="001243DA"/>
    <w:rsid w:val="001255B6"/>
    <w:rsid w:val="001300B5"/>
    <w:rsid w:val="00134987"/>
    <w:rsid w:val="00140F53"/>
    <w:rsid w:val="00142AE0"/>
    <w:rsid w:val="00146153"/>
    <w:rsid w:val="0014658F"/>
    <w:rsid w:val="00154BAA"/>
    <w:rsid w:val="00156A70"/>
    <w:rsid w:val="00157DEB"/>
    <w:rsid w:val="0016429D"/>
    <w:rsid w:val="00171E28"/>
    <w:rsid w:val="001726B9"/>
    <w:rsid w:val="001750F6"/>
    <w:rsid w:val="00175DEB"/>
    <w:rsid w:val="00184813"/>
    <w:rsid w:val="00185940"/>
    <w:rsid w:val="0018771D"/>
    <w:rsid w:val="00193A24"/>
    <w:rsid w:val="00194A75"/>
    <w:rsid w:val="001A0DE7"/>
    <w:rsid w:val="001B20FA"/>
    <w:rsid w:val="001B23A5"/>
    <w:rsid w:val="001B2939"/>
    <w:rsid w:val="001B60D1"/>
    <w:rsid w:val="001C24B7"/>
    <w:rsid w:val="001C3BC8"/>
    <w:rsid w:val="001C7C1E"/>
    <w:rsid w:val="001D0D81"/>
    <w:rsid w:val="001D44DD"/>
    <w:rsid w:val="001D5522"/>
    <w:rsid w:val="001D659D"/>
    <w:rsid w:val="001E2F43"/>
    <w:rsid w:val="001E5323"/>
    <w:rsid w:val="001E58E9"/>
    <w:rsid w:val="001F09CA"/>
    <w:rsid w:val="001F3652"/>
    <w:rsid w:val="001F68B7"/>
    <w:rsid w:val="002007CE"/>
    <w:rsid w:val="00201103"/>
    <w:rsid w:val="00201D17"/>
    <w:rsid w:val="002035BD"/>
    <w:rsid w:val="00206496"/>
    <w:rsid w:val="0020653E"/>
    <w:rsid w:val="00210B20"/>
    <w:rsid w:val="00212503"/>
    <w:rsid w:val="00213340"/>
    <w:rsid w:val="00214BD1"/>
    <w:rsid w:val="002235A1"/>
    <w:rsid w:val="0022571B"/>
    <w:rsid w:val="00225E6E"/>
    <w:rsid w:val="00226FBC"/>
    <w:rsid w:val="00231F06"/>
    <w:rsid w:val="002360DE"/>
    <w:rsid w:val="00240C02"/>
    <w:rsid w:val="002417DC"/>
    <w:rsid w:val="0024483E"/>
    <w:rsid w:val="00244B8D"/>
    <w:rsid w:val="00244E5D"/>
    <w:rsid w:val="00245480"/>
    <w:rsid w:val="00254FE0"/>
    <w:rsid w:val="00260BE4"/>
    <w:rsid w:val="00261D58"/>
    <w:rsid w:val="002625C7"/>
    <w:rsid w:val="00270D94"/>
    <w:rsid w:val="00271570"/>
    <w:rsid w:val="00272400"/>
    <w:rsid w:val="00272B47"/>
    <w:rsid w:val="00275645"/>
    <w:rsid w:val="0027661A"/>
    <w:rsid w:val="00280268"/>
    <w:rsid w:val="002820B0"/>
    <w:rsid w:val="00283476"/>
    <w:rsid w:val="00286487"/>
    <w:rsid w:val="00286A7A"/>
    <w:rsid w:val="0029165E"/>
    <w:rsid w:val="00291BE0"/>
    <w:rsid w:val="00294EE4"/>
    <w:rsid w:val="002967B5"/>
    <w:rsid w:val="002A065E"/>
    <w:rsid w:val="002A5DBB"/>
    <w:rsid w:val="002A6059"/>
    <w:rsid w:val="002B3376"/>
    <w:rsid w:val="002B66D3"/>
    <w:rsid w:val="002C11FA"/>
    <w:rsid w:val="002C3237"/>
    <w:rsid w:val="002C6FCA"/>
    <w:rsid w:val="002D0D50"/>
    <w:rsid w:val="002D1C6A"/>
    <w:rsid w:val="002D2325"/>
    <w:rsid w:val="002D5E22"/>
    <w:rsid w:val="002D61F3"/>
    <w:rsid w:val="002E4AE5"/>
    <w:rsid w:val="002F303B"/>
    <w:rsid w:val="002F4AE8"/>
    <w:rsid w:val="002F4E3F"/>
    <w:rsid w:val="002F6736"/>
    <w:rsid w:val="002F72F9"/>
    <w:rsid w:val="002F7888"/>
    <w:rsid w:val="00300590"/>
    <w:rsid w:val="00300A4D"/>
    <w:rsid w:val="00305CE5"/>
    <w:rsid w:val="0030787E"/>
    <w:rsid w:val="00310893"/>
    <w:rsid w:val="003142BC"/>
    <w:rsid w:val="003153AC"/>
    <w:rsid w:val="00315B46"/>
    <w:rsid w:val="00320A56"/>
    <w:rsid w:val="0032184A"/>
    <w:rsid w:val="00324844"/>
    <w:rsid w:val="00326B70"/>
    <w:rsid w:val="00326FAB"/>
    <w:rsid w:val="00327D19"/>
    <w:rsid w:val="0033302F"/>
    <w:rsid w:val="003363C8"/>
    <w:rsid w:val="003379B9"/>
    <w:rsid w:val="0034265D"/>
    <w:rsid w:val="003436E1"/>
    <w:rsid w:val="00347671"/>
    <w:rsid w:val="00350352"/>
    <w:rsid w:val="003512E0"/>
    <w:rsid w:val="00354EDC"/>
    <w:rsid w:val="00361890"/>
    <w:rsid w:val="0036290C"/>
    <w:rsid w:val="003631C1"/>
    <w:rsid w:val="003653D9"/>
    <w:rsid w:val="00365ABB"/>
    <w:rsid w:val="003668CC"/>
    <w:rsid w:val="003668E7"/>
    <w:rsid w:val="00367F20"/>
    <w:rsid w:val="00373094"/>
    <w:rsid w:val="00373E8E"/>
    <w:rsid w:val="0037566F"/>
    <w:rsid w:val="00381C3D"/>
    <w:rsid w:val="00382C3A"/>
    <w:rsid w:val="0038780D"/>
    <w:rsid w:val="00391AB5"/>
    <w:rsid w:val="003925A3"/>
    <w:rsid w:val="00392997"/>
    <w:rsid w:val="003938F4"/>
    <w:rsid w:val="00396505"/>
    <w:rsid w:val="003A0535"/>
    <w:rsid w:val="003A0E2A"/>
    <w:rsid w:val="003A2B47"/>
    <w:rsid w:val="003B220E"/>
    <w:rsid w:val="003B3057"/>
    <w:rsid w:val="003B5979"/>
    <w:rsid w:val="003B6C11"/>
    <w:rsid w:val="003B7D6B"/>
    <w:rsid w:val="003C034E"/>
    <w:rsid w:val="003C0BB3"/>
    <w:rsid w:val="003D4C6B"/>
    <w:rsid w:val="003D6873"/>
    <w:rsid w:val="003D7E5D"/>
    <w:rsid w:val="003E2394"/>
    <w:rsid w:val="003E6C47"/>
    <w:rsid w:val="003E7258"/>
    <w:rsid w:val="003F0ECC"/>
    <w:rsid w:val="003F1DC6"/>
    <w:rsid w:val="003F603C"/>
    <w:rsid w:val="00404CC9"/>
    <w:rsid w:val="00410277"/>
    <w:rsid w:val="0041143B"/>
    <w:rsid w:val="0041249B"/>
    <w:rsid w:val="00415B58"/>
    <w:rsid w:val="00420FB4"/>
    <w:rsid w:val="004246B6"/>
    <w:rsid w:val="00425B3F"/>
    <w:rsid w:val="00427B1C"/>
    <w:rsid w:val="0043009B"/>
    <w:rsid w:val="00431C75"/>
    <w:rsid w:val="00432871"/>
    <w:rsid w:val="004330AF"/>
    <w:rsid w:val="00435D11"/>
    <w:rsid w:val="004376CB"/>
    <w:rsid w:val="00443755"/>
    <w:rsid w:val="00446768"/>
    <w:rsid w:val="00453944"/>
    <w:rsid w:val="0045608F"/>
    <w:rsid w:val="00456CA7"/>
    <w:rsid w:val="00467C19"/>
    <w:rsid w:val="00471EEE"/>
    <w:rsid w:val="004731AB"/>
    <w:rsid w:val="004753D5"/>
    <w:rsid w:val="00476D49"/>
    <w:rsid w:val="00480315"/>
    <w:rsid w:val="00480C4F"/>
    <w:rsid w:val="00482FCE"/>
    <w:rsid w:val="004859B3"/>
    <w:rsid w:val="00486F84"/>
    <w:rsid w:val="004921C2"/>
    <w:rsid w:val="00494EAA"/>
    <w:rsid w:val="004977FE"/>
    <w:rsid w:val="00497AAF"/>
    <w:rsid w:val="004B1132"/>
    <w:rsid w:val="004B4C4A"/>
    <w:rsid w:val="004B649B"/>
    <w:rsid w:val="004B797B"/>
    <w:rsid w:val="004C2387"/>
    <w:rsid w:val="004C65A6"/>
    <w:rsid w:val="004C7ECC"/>
    <w:rsid w:val="004D0F6E"/>
    <w:rsid w:val="004D18A1"/>
    <w:rsid w:val="004D698A"/>
    <w:rsid w:val="004D6AEB"/>
    <w:rsid w:val="004E1679"/>
    <w:rsid w:val="004E26B6"/>
    <w:rsid w:val="004E369D"/>
    <w:rsid w:val="004E37D0"/>
    <w:rsid w:val="004E416B"/>
    <w:rsid w:val="004E504E"/>
    <w:rsid w:val="004F11C9"/>
    <w:rsid w:val="004F267C"/>
    <w:rsid w:val="004F27D2"/>
    <w:rsid w:val="004F6A21"/>
    <w:rsid w:val="00503D65"/>
    <w:rsid w:val="00504E87"/>
    <w:rsid w:val="005120FC"/>
    <w:rsid w:val="0051520F"/>
    <w:rsid w:val="0051581C"/>
    <w:rsid w:val="0052078D"/>
    <w:rsid w:val="00525678"/>
    <w:rsid w:val="005257BF"/>
    <w:rsid w:val="00526B39"/>
    <w:rsid w:val="00526B5C"/>
    <w:rsid w:val="00530A10"/>
    <w:rsid w:val="005313D7"/>
    <w:rsid w:val="00532248"/>
    <w:rsid w:val="00532DD2"/>
    <w:rsid w:val="00533210"/>
    <w:rsid w:val="00536794"/>
    <w:rsid w:val="005375E7"/>
    <w:rsid w:val="00545C5E"/>
    <w:rsid w:val="0054612C"/>
    <w:rsid w:val="00551A61"/>
    <w:rsid w:val="0055472F"/>
    <w:rsid w:val="00554F6E"/>
    <w:rsid w:val="0055707F"/>
    <w:rsid w:val="00557230"/>
    <w:rsid w:val="005614AD"/>
    <w:rsid w:val="00565599"/>
    <w:rsid w:val="005729D5"/>
    <w:rsid w:val="00572CBE"/>
    <w:rsid w:val="00575CB3"/>
    <w:rsid w:val="005806FB"/>
    <w:rsid w:val="005816D9"/>
    <w:rsid w:val="00582670"/>
    <w:rsid w:val="0058280F"/>
    <w:rsid w:val="00584F61"/>
    <w:rsid w:val="00585476"/>
    <w:rsid w:val="00590CA6"/>
    <w:rsid w:val="00593E06"/>
    <w:rsid w:val="005944E0"/>
    <w:rsid w:val="00597D19"/>
    <w:rsid w:val="005A2C7A"/>
    <w:rsid w:val="005B07A6"/>
    <w:rsid w:val="005B08F2"/>
    <w:rsid w:val="005B327B"/>
    <w:rsid w:val="005C118C"/>
    <w:rsid w:val="005C161C"/>
    <w:rsid w:val="005C5780"/>
    <w:rsid w:val="005D08EA"/>
    <w:rsid w:val="005D2337"/>
    <w:rsid w:val="005D2412"/>
    <w:rsid w:val="005E16D3"/>
    <w:rsid w:val="005E1B00"/>
    <w:rsid w:val="005E217F"/>
    <w:rsid w:val="005E29DB"/>
    <w:rsid w:val="005E60CE"/>
    <w:rsid w:val="005F09F1"/>
    <w:rsid w:val="005F0C65"/>
    <w:rsid w:val="005F657D"/>
    <w:rsid w:val="005F7155"/>
    <w:rsid w:val="005F7F94"/>
    <w:rsid w:val="00604E5E"/>
    <w:rsid w:val="00607907"/>
    <w:rsid w:val="0061273D"/>
    <w:rsid w:val="006243D6"/>
    <w:rsid w:val="00624C7B"/>
    <w:rsid w:val="00627AC2"/>
    <w:rsid w:val="00627E93"/>
    <w:rsid w:val="00637442"/>
    <w:rsid w:val="00643CD2"/>
    <w:rsid w:val="00644D80"/>
    <w:rsid w:val="006456CF"/>
    <w:rsid w:val="00646323"/>
    <w:rsid w:val="00647427"/>
    <w:rsid w:val="00655ADA"/>
    <w:rsid w:val="00656459"/>
    <w:rsid w:val="006567D9"/>
    <w:rsid w:val="00665016"/>
    <w:rsid w:val="00677346"/>
    <w:rsid w:val="00680FA6"/>
    <w:rsid w:val="00681AB6"/>
    <w:rsid w:val="00681F7D"/>
    <w:rsid w:val="00690BD0"/>
    <w:rsid w:val="006926B2"/>
    <w:rsid w:val="0069454E"/>
    <w:rsid w:val="006A0CBE"/>
    <w:rsid w:val="006A0E3A"/>
    <w:rsid w:val="006B0633"/>
    <w:rsid w:val="006B7834"/>
    <w:rsid w:val="006C1CB7"/>
    <w:rsid w:val="006C28B3"/>
    <w:rsid w:val="006C4624"/>
    <w:rsid w:val="006C5EEB"/>
    <w:rsid w:val="006D2FC9"/>
    <w:rsid w:val="006D3FCC"/>
    <w:rsid w:val="006D4750"/>
    <w:rsid w:val="006D5969"/>
    <w:rsid w:val="006D5F11"/>
    <w:rsid w:val="006D6F89"/>
    <w:rsid w:val="006E6835"/>
    <w:rsid w:val="006F1430"/>
    <w:rsid w:val="006F57F5"/>
    <w:rsid w:val="006F6FE1"/>
    <w:rsid w:val="007001C2"/>
    <w:rsid w:val="0070041E"/>
    <w:rsid w:val="00701170"/>
    <w:rsid w:val="007014AC"/>
    <w:rsid w:val="0070290B"/>
    <w:rsid w:val="00702CEE"/>
    <w:rsid w:val="00702E96"/>
    <w:rsid w:val="00703025"/>
    <w:rsid w:val="007067AE"/>
    <w:rsid w:val="00706C5A"/>
    <w:rsid w:val="00707C10"/>
    <w:rsid w:val="00711EBD"/>
    <w:rsid w:val="0071635B"/>
    <w:rsid w:val="00716B76"/>
    <w:rsid w:val="00716D50"/>
    <w:rsid w:val="00716FAD"/>
    <w:rsid w:val="00721389"/>
    <w:rsid w:val="00723070"/>
    <w:rsid w:val="00723CDE"/>
    <w:rsid w:val="00723FB9"/>
    <w:rsid w:val="007279BB"/>
    <w:rsid w:val="00731333"/>
    <w:rsid w:val="00733B27"/>
    <w:rsid w:val="00734119"/>
    <w:rsid w:val="0073605E"/>
    <w:rsid w:val="0074070E"/>
    <w:rsid w:val="00740E08"/>
    <w:rsid w:val="00741A64"/>
    <w:rsid w:val="0074260B"/>
    <w:rsid w:val="00742699"/>
    <w:rsid w:val="00743EE1"/>
    <w:rsid w:val="007447A5"/>
    <w:rsid w:val="007449E3"/>
    <w:rsid w:val="00752B2F"/>
    <w:rsid w:val="00753603"/>
    <w:rsid w:val="0075696E"/>
    <w:rsid w:val="00757264"/>
    <w:rsid w:val="007634F1"/>
    <w:rsid w:val="00770CDC"/>
    <w:rsid w:val="007766D6"/>
    <w:rsid w:val="00777069"/>
    <w:rsid w:val="00777674"/>
    <w:rsid w:val="00781A22"/>
    <w:rsid w:val="00781E5D"/>
    <w:rsid w:val="00787930"/>
    <w:rsid w:val="00790DF8"/>
    <w:rsid w:val="00794524"/>
    <w:rsid w:val="007953E1"/>
    <w:rsid w:val="007A0826"/>
    <w:rsid w:val="007A1294"/>
    <w:rsid w:val="007A418D"/>
    <w:rsid w:val="007A5223"/>
    <w:rsid w:val="007A7D75"/>
    <w:rsid w:val="007B0608"/>
    <w:rsid w:val="007B393A"/>
    <w:rsid w:val="007B3FB6"/>
    <w:rsid w:val="007B608E"/>
    <w:rsid w:val="007C47A7"/>
    <w:rsid w:val="007C4CC8"/>
    <w:rsid w:val="007C716D"/>
    <w:rsid w:val="007D0E47"/>
    <w:rsid w:val="007D2745"/>
    <w:rsid w:val="007D582D"/>
    <w:rsid w:val="007E3FE1"/>
    <w:rsid w:val="007F06D2"/>
    <w:rsid w:val="007F0B6E"/>
    <w:rsid w:val="007F3091"/>
    <w:rsid w:val="007F4FFD"/>
    <w:rsid w:val="007F5013"/>
    <w:rsid w:val="007F5942"/>
    <w:rsid w:val="007F71F8"/>
    <w:rsid w:val="007F7A0C"/>
    <w:rsid w:val="00800A3D"/>
    <w:rsid w:val="008070C4"/>
    <w:rsid w:val="00807A07"/>
    <w:rsid w:val="00814F2A"/>
    <w:rsid w:val="008169CA"/>
    <w:rsid w:val="008222F5"/>
    <w:rsid w:val="00822925"/>
    <w:rsid w:val="00823320"/>
    <w:rsid w:val="008238C7"/>
    <w:rsid w:val="00826F29"/>
    <w:rsid w:val="00837D0B"/>
    <w:rsid w:val="00846AFB"/>
    <w:rsid w:val="008507C3"/>
    <w:rsid w:val="00854C91"/>
    <w:rsid w:val="008574CF"/>
    <w:rsid w:val="00861FA7"/>
    <w:rsid w:val="00862D73"/>
    <w:rsid w:val="0086450A"/>
    <w:rsid w:val="00866C8C"/>
    <w:rsid w:val="00866FCB"/>
    <w:rsid w:val="008721D7"/>
    <w:rsid w:val="008736DC"/>
    <w:rsid w:val="00873DA0"/>
    <w:rsid w:val="00874EB5"/>
    <w:rsid w:val="008765BE"/>
    <w:rsid w:val="00877E66"/>
    <w:rsid w:val="00883687"/>
    <w:rsid w:val="00886E8B"/>
    <w:rsid w:val="00887F7D"/>
    <w:rsid w:val="008908A2"/>
    <w:rsid w:val="00890EAF"/>
    <w:rsid w:val="00892B8B"/>
    <w:rsid w:val="00896597"/>
    <w:rsid w:val="008A7A68"/>
    <w:rsid w:val="008A7B22"/>
    <w:rsid w:val="008B08DB"/>
    <w:rsid w:val="008B2035"/>
    <w:rsid w:val="008B289F"/>
    <w:rsid w:val="008B3253"/>
    <w:rsid w:val="008B7825"/>
    <w:rsid w:val="008B7A06"/>
    <w:rsid w:val="008C310B"/>
    <w:rsid w:val="008C5BE1"/>
    <w:rsid w:val="008D0D2F"/>
    <w:rsid w:val="008D6126"/>
    <w:rsid w:val="008D6502"/>
    <w:rsid w:val="008E156D"/>
    <w:rsid w:val="008E1BE4"/>
    <w:rsid w:val="008E2125"/>
    <w:rsid w:val="008E220A"/>
    <w:rsid w:val="008E2801"/>
    <w:rsid w:val="008E2F79"/>
    <w:rsid w:val="008E62CF"/>
    <w:rsid w:val="008E70D7"/>
    <w:rsid w:val="008E7C41"/>
    <w:rsid w:val="008F45F7"/>
    <w:rsid w:val="008F461A"/>
    <w:rsid w:val="00907F1E"/>
    <w:rsid w:val="009123F1"/>
    <w:rsid w:val="009138D0"/>
    <w:rsid w:val="00916DAA"/>
    <w:rsid w:val="0093087B"/>
    <w:rsid w:val="00930886"/>
    <w:rsid w:val="00932C0B"/>
    <w:rsid w:val="009332B8"/>
    <w:rsid w:val="00933E3A"/>
    <w:rsid w:val="009371DC"/>
    <w:rsid w:val="00937AFE"/>
    <w:rsid w:val="00942D47"/>
    <w:rsid w:val="0094786E"/>
    <w:rsid w:val="00950DD9"/>
    <w:rsid w:val="00951912"/>
    <w:rsid w:val="00953FBE"/>
    <w:rsid w:val="009575FD"/>
    <w:rsid w:val="00960F51"/>
    <w:rsid w:val="0096179B"/>
    <w:rsid w:val="009633D5"/>
    <w:rsid w:val="009644E9"/>
    <w:rsid w:val="00965DAB"/>
    <w:rsid w:val="00974680"/>
    <w:rsid w:val="00977B47"/>
    <w:rsid w:val="00984385"/>
    <w:rsid w:val="00984EB7"/>
    <w:rsid w:val="00986428"/>
    <w:rsid w:val="00986E7F"/>
    <w:rsid w:val="009930BA"/>
    <w:rsid w:val="009937AF"/>
    <w:rsid w:val="0099542D"/>
    <w:rsid w:val="0099586D"/>
    <w:rsid w:val="0099685E"/>
    <w:rsid w:val="00997390"/>
    <w:rsid w:val="00997786"/>
    <w:rsid w:val="00997919"/>
    <w:rsid w:val="00997D95"/>
    <w:rsid w:val="009A18B6"/>
    <w:rsid w:val="009A3AC5"/>
    <w:rsid w:val="009B1ED7"/>
    <w:rsid w:val="009B3A62"/>
    <w:rsid w:val="009B4C2F"/>
    <w:rsid w:val="009B4F5C"/>
    <w:rsid w:val="009D366D"/>
    <w:rsid w:val="009D38A0"/>
    <w:rsid w:val="009D47C2"/>
    <w:rsid w:val="009D492B"/>
    <w:rsid w:val="009D544B"/>
    <w:rsid w:val="009E45B8"/>
    <w:rsid w:val="009F3B29"/>
    <w:rsid w:val="009F5B79"/>
    <w:rsid w:val="00A04B3D"/>
    <w:rsid w:val="00A12887"/>
    <w:rsid w:val="00A15DD5"/>
    <w:rsid w:val="00A17817"/>
    <w:rsid w:val="00A262B0"/>
    <w:rsid w:val="00A301D0"/>
    <w:rsid w:val="00A40309"/>
    <w:rsid w:val="00A40BF6"/>
    <w:rsid w:val="00A41351"/>
    <w:rsid w:val="00A42741"/>
    <w:rsid w:val="00A459B1"/>
    <w:rsid w:val="00A47893"/>
    <w:rsid w:val="00A47C57"/>
    <w:rsid w:val="00A523DA"/>
    <w:rsid w:val="00A531A3"/>
    <w:rsid w:val="00A53246"/>
    <w:rsid w:val="00A55B4A"/>
    <w:rsid w:val="00A61C15"/>
    <w:rsid w:val="00A629B0"/>
    <w:rsid w:val="00A64BD9"/>
    <w:rsid w:val="00A675E2"/>
    <w:rsid w:val="00A72019"/>
    <w:rsid w:val="00A7524D"/>
    <w:rsid w:val="00A775DB"/>
    <w:rsid w:val="00A83EFA"/>
    <w:rsid w:val="00A91774"/>
    <w:rsid w:val="00A92AC1"/>
    <w:rsid w:val="00A94269"/>
    <w:rsid w:val="00A96CBF"/>
    <w:rsid w:val="00A97551"/>
    <w:rsid w:val="00AA2055"/>
    <w:rsid w:val="00AA2DEB"/>
    <w:rsid w:val="00AA390C"/>
    <w:rsid w:val="00AB3B72"/>
    <w:rsid w:val="00AC095F"/>
    <w:rsid w:val="00AC1373"/>
    <w:rsid w:val="00AD120F"/>
    <w:rsid w:val="00AD31DC"/>
    <w:rsid w:val="00AD5412"/>
    <w:rsid w:val="00AD588D"/>
    <w:rsid w:val="00AD6D85"/>
    <w:rsid w:val="00AE0892"/>
    <w:rsid w:val="00AE610B"/>
    <w:rsid w:val="00AF0665"/>
    <w:rsid w:val="00AF6381"/>
    <w:rsid w:val="00AF6E51"/>
    <w:rsid w:val="00B00924"/>
    <w:rsid w:val="00B015A5"/>
    <w:rsid w:val="00B06AC8"/>
    <w:rsid w:val="00B07439"/>
    <w:rsid w:val="00B103F8"/>
    <w:rsid w:val="00B12204"/>
    <w:rsid w:val="00B157C0"/>
    <w:rsid w:val="00B165AE"/>
    <w:rsid w:val="00B20431"/>
    <w:rsid w:val="00B21122"/>
    <w:rsid w:val="00B23733"/>
    <w:rsid w:val="00B24B65"/>
    <w:rsid w:val="00B26FBA"/>
    <w:rsid w:val="00B3257B"/>
    <w:rsid w:val="00B35718"/>
    <w:rsid w:val="00B37C47"/>
    <w:rsid w:val="00B46C57"/>
    <w:rsid w:val="00B545AE"/>
    <w:rsid w:val="00B562EF"/>
    <w:rsid w:val="00B56C55"/>
    <w:rsid w:val="00B57A80"/>
    <w:rsid w:val="00B70A2B"/>
    <w:rsid w:val="00B7663B"/>
    <w:rsid w:val="00B81FAC"/>
    <w:rsid w:val="00B82ACB"/>
    <w:rsid w:val="00B840D7"/>
    <w:rsid w:val="00B855CD"/>
    <w:rsid w:val="00B865E1"/>
    <w:rsid w:val="00B8694A"/>
    <w:rsid w:val="00B87662"/>
    <w:rsid w:val="00BA0398"/>
    <w:rsid w:val="00BA25DC"/>
    <w:rsid w:val="00BA2EE6"/>
    <w:rsid w:val="00BA4838"/>
    <w:rsid w:val="00BA4D37"/>
    <w:rsid w:val="00BB01CE"/>
    <w:rsid w:val="00BB2974"/>
    <w:rsid w:val="00BB3EF8"/>
    <w:rsid w:val="00BB42F6"/>
    <w:rsid w:val="00BC0C89"/>
    <w:rsid w:val="00BC237A"/>
    <w:rsid w:val="00BC37C2"/>
    <w:rsid w:val="00BC65CE"/>
    <w:rsid w:val="00BC6BFA"/>
    <w:rsid w:val="00BD6171"/>
    <w:rsid w:val="00BD7B1F"/>
    <w:rsid w:val="00BE1833"/>
    <w:rsid w:val="00BE26F3"/>
    <w:rsid w:val="00BE58D8"/>
    <w:rsid w:val="00BE6CE9"/>
    <w:rsid w:val="00BE721C"/>
    <w:rsid w:val="00BF04E7"/>
    <w:rsid w:val="00BF0BFE"/>
    <w:rsid w:val="00C03521"/>
    <w:rsid w:val="00C115E9"/>
    <w:rsid w:val="00C12B51"/>
    <w:rsid w:val="00C202F4"/>
    <w:rsid w:val="00C26D77"/>
    <w:rsid w:val="00C323FF"/>
    <w:rsid w:val="00C34A9A"/>
    <w:rsid w:val="00C361F7"/>
    <w:rsid w:val="00C42767"/>
    <w:rsid w:val="00C44550"/>
    <w:rsid w:val="00C46B1A"/>
    <w:rsid w:val="00C53EDD"/>
    <w:rsid w:val="00C55E9A"/>
    <w:rsid w:val="00C56518"/>
    <w:rsid w:val="00C62C68"/>
    <w:rsid w:val="00C677CF"/>
    <w:rsid w:val="00C70D1E"/>
    <w:rsid w:val="00C71FE2"/>
    <w:rsid w:val="00C728D4"/>
    <w:rsid w:val="00C74940"/>
    <w:rsid w:val="00C750D2"/>
    <w:rsid w:val="00C771B4"/>
    <w:rsid w:val="00C77974"/>
    <w:rsid w:val="00C80F4E"/>
    <w:rsid w:val="00C8537E"/>
    <w:rsid w:val="00C87B20"/>
    <w:rsid w:val="00C96BB9"/>
    <w:rsid w:val="00C97A04"/>
    <w:rsid w:val="00CB206D"/>
    <w:rsid w:val="00CB2A36"/>
    <w:rsid w:val="00CB44C2"/>
    <w:rsid w:val="00CB77C9"/>
    <w:rsid w:val="00CC76FB"/>
    <w:rsid w:val="00CD309F"/>
    <w:rsid w:val="00CD4721"/>
    <w:rsid w:val="00CD602E"/>
    <w:rsid w:val="00CD6365"/>
    <w:rsid w:val="00CE2DC8"/>
    <w:rsid w:val="00CE5393"/>
    <w:rsid w:val="00CE6233"/>
    <w:rsid w:val="00CE6267"/>
    <w:rsid w:val="00CE64FE"/>
    <w:rsid w:val="00CE7908"/>
    <w:rsid w:val="00CE7A7B"/>
    <w:rsid w:val="00CF0FAB"/>
    <w:rsid w:val="00CF3C4D"/>
    <w:rsid w:val="00CF416B"/>
    <w:rsid w:val="00CF46CE"/>
    <w:rsid w:val="00CF6414"/>
    <w:rsid w:val="00CF7BF8"/>
    <w:rsid w:val="00D00280"/>
    <w:rsid w:val="00D008FE"/>
    <w:rsid w:val="00D02EE7"/>
    <w:rsid w:val="00D0646E"/>
    <w:rsid w:val="00D06977"/>
    <w:rsid w:val="00D142B2"/>
    <w:rsid w:val="00D32B63"/>
    <w:rsid w:val="00D3378E"/>
    <w:rsid w:val="00D349D6"/>
    <w:rsid w:val="00D40F79"/>
    <w:rsid w:val="00D412CF"/>
    <w:rsid w:val="00D43611"/>
    <w:rsid w:val="00D46971"/>
    <w:rsid w:val="00D51AD1"/>
    <w:rsid w:val="00D55E44"/>
    <w:rsid w:val="00D57FBF"/>
    <w:rsid w:val="00D64F2D"/>
    <w:rsid w:val="00D66AC7"/>
    <w:rsid w:val="00D71657"/>
    <w:rsid w:val="00D7225E"/>
    <w:rsid w:val="00D7405F"/>
    <w:rsid w:val="00D749DD"/>
    <w:rsid w:val="00D74A4A"/>
    <w:rsid w:val="00D75028"/>
    <w:rsid w:val="00D775C4"/>
    <w:rsid w:val="00D82E17"/>
    <w:rsid w:val="00D8369F"/>
    <w:rsid w:val="00D84106"/>
    <w:rsid w:val="00D8469D"/>
    <w:rsid w:val="00D85F48"/>
    <w:rsid w:val="00D9276C"/>
    <w:rsid w:val="00D94F16"/>
    <w:rsid w:val="00DA1749"/>
    <w:rsid w:val="00DA3066"/>
    <w:rsid w:val="00DA383F"/>
    <w:rsid w:val="00DA4B31"/>
    <w:rsid w:val="00DB5092"/>
    <w:rsid w:val="00DC35F5"/>
    <w:rsid w:val="00DC4D3E"/>
    <w:rsid w:val="00DC585D"/>
    <w:rsid w:val="00DC61AC"/>
    <w:rsid w:val="00DD0433"/>
    <w:rsid w:val="00DD1FA1"/>
    <w:rsid w:val="00DE5A59"/>
    <w:rsid w:val="00DF3545"/>
    <w:rsid w:val="00DF432B"/>
    <w:rsid w:val="00DF4752"/>
    <w:rsid w:val="00DF499C"/>
    <w:rsid w:val="00DF6E74"/>
    <w:rsid w:val="00DF7474"/>
    <w:rsid w:val="00E0151F"/>
    <w:rsid w:val="00E0156D"/>
    <w:rsid w:val="00E04276"/>
    <w:rsid w:val="00E04719"/>
    <w:rsid w:val="00E05CB2"/>
    <w:rsid w:val="00E0658E"/>
    <w:rsid w:val="00E06D95"/>
    <w:rsid w:val="00E06E03"/>
    <w:rsid w:val="00E0727D"/>
    <w:rsid w:val="00E112EE"/>
    <w:rsid w:val="00E130D1"/>
    <w:rsid w:val="00E13A9C"/>
    <w:rsid w:val="00E20009"/>
    <w:rsid w:val="00E21FA7"/>
    <w:rsid w:val="00E22591"/>
    <w:rsid w:val="00E24A16"/>
    <w:rsid w:val="00E26DC3"/>
    <w:rsid w:val="00E34A60"/>
    <w:rsid w:val="00E35D62"/>
    <w:rsid w:val="00E41195"/>
    <w:rsid w:val="00E46D00"/>
    <w:rsid w:val="00E4711E"/>
    <w:rsid w:val="00E52194"/>
    <w:rsid w:val="00E610A2"/>
    <w:rsid w:val="00E637AF"/>
    <w:rsid w:val="00E639A1"/>
    <w:rsid w:val="00E64990"/>
    <w:rsid w:val="00E72335"/>
    <w:rsid w:val="00E76EC0"/>
    <w:rsid w:val="00E776E3"/>
    <w:rsid w:val="00E83B99"/>
    <w:rsid w:val="00E84DD1"/>
    <w:rsid w:val="00E877CF"/>
    <w:rsid w:val="00E918FD"/>
    <w:rsid w:val="00E924A5"/>
    <w:rsid w:val="00E92AF2"/>
    <w:rsid w:val="00E93E16"/>
    <w:rsid w:val="00E95AAB"/>
    <w:rsid w:val="00E9692F"/>
    <w:rsid w:val="00E9771C"/>
    <w:rsid w:val="00EA0DD6"/>
    <w:rsid w:val="00EA29EC"/>
    <w:rsid w:val="00EB57D3"/>
    <w:rsid w:val="00EC076E"/>
    <w:rsid w:val="00EC338B"/>
    <w:rsid w:val="00EC41DA"/>
    <w:rsid w:val="00EC5B4D"/>
    <w:rsid w:val="00EC744D"/>
    <w:rsid w:val="00ED1F19"/>
    <w:rsid w:val="00ED4ABD"/>
    <w:rsid w:val="00EE012B"/>
    <w:rsid w:val="00EE25CE"/>
    <w:rsid w:val="00EE2BCC"/>
    <w:rsid w:val="00EE758F"/>
    <w:rsid w:val="00EF2A05"/>
    <w:rsid w:val="00EF4464"/>
    <w:rsid w:val="00EF4BDE"/>
    <w:rsid w:val="00EF6CC8"/>
    <w:rsid w:val="00F01F5C"/>
    <w:rsid w:val="00F117BD"/>
    <w:rsid w:val="00F11C84"/>
    <w:rsid w:val="00F14B7D"/>
    <w:rsid w:val="00F26EA1"/>
    <w:rsid w:val="00F3114D"/>
    <w:rsid w:val="00F36ED5"/>
    <w:rsid w:val="00F3715F"/>
    <w:rsid w:val="00F429AA"/>
    <w:rsid w:val="00F452CE"/>
    <w:rsid w:val="00F50452"/>
    <w:rsid w:val="00F60BB1"/>
    <w:rsid w:val="00F66B1A"/>
    <w:rsid w:val="00F670E9"/>
    <w:rsid w:val="00F70436"/>
    <w:rsid w:val="00F73F52"/>
    <w:rsid w:val="00F760D5"/>
    <w:rsid w:val="00F7624B"/>
    <w:rsid w:val="00F8369B"/>
    <w:rsid w:val="00F87BA4"/>
    <w:rsid w:val="00F9119C"/>
    <w:rsid w:val="00F92BD2"/>
    <w:rsid w:val="00F95901"/>
    <w:rsid w:val="00F9628D"/>
    <w:rsid w:val="00F97FC0"/>
    <w:rsid w:val="00FA0724"/>
    <w:rsid w:val="00FA0947"/>
    <w:rsid w:val="00FA5F6C"/>
    <w:rsid w:val="00FA663D"/>
    <w:rsid w:val="00FB0B38"/>
    <w:rsid w:val="00FB0C01"/>
    <w:rsid w:val="00FB446D"/>
    <w:rsid w:val="00FB515A"/>
    <w:rsid w:val="00FB51F8"/>
    <w:rsid w:val="00FB635F"/>
    <w:rsid w:val="00FC541A"/>
    <w:rsid w:val="00FC6CFD"/>
    <w:rsid w:val="00FC77F2"/>
    <w:rsid w:val="00FC7B29"/>
    <w:rsid w:val="00FD0C63"/>
    <w:rsid w:val="00FD0FFC"/>
    <w:rsid w:val="00FD1747"/>
    <w:rsid w:val="00FD1DFD"/>
    <w:rsid w:val="00FD622E"/>
    <w:rsid w:val="00FE0C0F"/>
    <w:rsid w:val="00FE3F7E"/>
    <w:rsid w:val="00FE67B1"/>
    <w:rsid w:val="00FF35F8"/>
    <w:rsid w:val="00FF43DC"/>
    <w:rsid w:val="00FF50A6"/>
    <w:rsid w:val="0D475D78"/>
    <w:rsid w:val="47307FD9"/>
    <w:rsid w:val="4D357738"/>
    <w:rsid w:val="7532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2"/>
    <w:unhideWhenUsed/>
    <w:qFormat/>
    <w:uiPriority w:val="9"/>
    <w:pPr>
      <w:keepNext/>
      <w:keepLines/>
      <w:ind w:left="881" w:hanging="881" w:hangingChars="200"/>
      <w:outlineLvl w:val="3"/>
    </w:pPr>
    <w:rPr>
      <w:rFonts w:ascii="Arial" w:hAnsi="Arial" w:eastAsia="仿宋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1"/>
    <w:unhideWhenUsed/>
    <w:uiPriority w:val="99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annotation reference"/>
    <w:basedOn w:val="7"/>
    <w:unhideWhenUsed/>
    <w:qFormat/>
    <w:uiPriority w:val="99"/>
    <w:rPr>
      <w:sz w:val="21"/>
      <w:szCs w:val="21"/>
    </w:rPr>
  </w:style>
  <w:style w:type="character" w:customStyle="1" w:styleId="10">
    <w:name w:val="页眉 Char"/>
    <w:basedOn w:val="7"/>
    <w:link w:val="5"/>
    <w:uiPriority w:val="0"/>
    <w:rPr>
      <w:kern w:val="2"/>
      <w:sz w:val="18"/>
      <w:szCs w:val="18"/>
    </w:rPr>
  </w:style>
  <w:style w:type="character" w:customStyle="1" w:styleId="11">
    <w:name w:val="正文文本 Char"/>
    <w:basedOn w:val="7"/>
    <w:link w:val="3"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2">
    <w:name w:val="标题 4 Char"/>
    <w:basedOn w:val="7"/>
    <w:link w:val="2"/>
    <w:uiPriority w:val="0"/>
    <w:rPr>
      <w:rFonts w:ascii="Arial" w:hAnsi="Arial" w:eastAsia="仿宋"/>
      <w:b/>
      <w:kern w:val="2"/>
      <w:sz w:val="32"/>
      <w:szCs w:val="22"/>
    </w:rPr>
  </w:style>
  <w:style w:type="paragraph" w:customStyle="1" w:styleId="13">
    <w:name w:val="正文标准格式"/>
    <w:basedOn w:val="1"/>
    <w:uiPriority w:val="0"/>
    <w:pPr>
      <w:ind w:firstLine="881" w:firstLineChars="200"/>
      <w:jc w:val="left"/>
    </w:pPr>
    <w:rPr>
      <w:rFonts w:eastAsia="仿宋"/>
      <w:sz w:val="32"/>
    </w:rPr>
  </w:style>
  <w:style w:type="paragraph" w:customStyle="1" w:styleId="14">
    <w:name w:val="Body text|1"/>
    <w:basedOn w:val="1"/>
    <w:qFormat/>
    <w:uiPriority w:val="0"/>
    <w:pPr>
      <w:spacing w:line="422" w:lineRule="auto"/>
      <w:ind w:firstLine="400"/>
      <w:jc w:val="left"/>
    </w:pPr>
    <w:rPr>
      <w:rFonts w:ascii="宋体" w:hAnsi="宋体" w:eastAsia="宋体" w:cs="宋体"/>
      <w:color w:val="000000"/>
      <w:kern w:val="0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672</Words>
  <Characters>3831</Characters>
  <Lines>31</Lines>
  <Paragraphs>8</Paragraphs>
  <TotalTime>3637</TotalTime>
  <ScaleCrop>false</ScaleCrop>
  <LinksUpToDate>false</LinksUpToDate>
  <CharactersWithSpaces>4495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2023-12-26T06:13:00Z</dcterms:created>
  <dc:creator>汪妍</dc:creator>
  <cp:lastModifiedBy>pxllnba</cp:lastModifiedBy>
  <dcterms:modified xsi:type="dcterms:W3CDTF">2024-02-28T04:55:36Z</dcterms:modified>
  <cp:revision>904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9A6E26A64E7B4D05814C2024961075C0_13</vt:lpwstr>
  </property>
</Properties>
</file>