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3F86" w:rsidRDefault="00FC54D8" w:rsidP="00792B61">
      <w:pPr>
        <w:jc w:val="center"/>
        <w:rPr>
          <w:rFonts w:ascii="华文中宋" w:eastAsia="华文中宋" w:hAnsi="华文中宋"/>
          <w:b/>
          <w:sz w:val="36"/>
          <w:szCs w:val="36"/>
        </w:rPr>
      </w:pPr>
      <w:r>
        <w:rPr>
          <w:rFonts w:ascii="华文中宋" w:eastAsia="华文中宋" w:hAnsi="华文中宋" w:hint="eastAsia"/>
          <w:b/>
          <w:sz w:val="36"/>
          <w:szCs w:val="36"/>
        </w:rPr>
        <w:t>辣椒越冬长茬设施栽培技术</w:t>
      </w:r>
    </w:p>
    <w:p w:rsidR="00792B61" w:rsidRPr="00792B61" w:rsidRDefault="00792B61" w:rsidP="00792B61">
      <w:pPr>
        <w:pStyle w:val="BodyText2"/>
        <w:ind w:firstLine="600"/>
        <w:rPr>
          <w:rFonts w:hint="eastAsia"/>
        </w:rPr>
      </w:pPr>
      <w:bookmarkStart w:id="0" w:name="_GoBack"/>
      <w:bookmarkEnd w:id="0"/>
    </w:p>
    <w:p w:rsidR="00D13F86" w:rsidRDefault="00FC54D8">
      <w:pPr>
        <w:adjustRightInd w:val="0"/>
        <w:snapToGrid w:val="0"/>
        <w:spacing w:line="600" w:lineRule="exact"/>
        <w:ind w:firstLineChars="200" w:firstLine="640"/>
        <w:rPr>
          <w:rFonts w:ascii="Times New Roman" w:eastAsia="黑体" w:hAnsi="Times New Roman"/>
          <w:bCs/>
          <w:color w:val="000000" w:themeColor="text1"/>
          <w:sz w:val="32"/>
          <w:szCs w:val="32"/>
        </w:rPr>
      </w:pPr>
      <w:r>
        <w:rPr>
          <w:rFonts w:ascii="Times New Roman" w:eastAsia="黑体" w:hAnsi="Times New Roman"/>
          <w:bCs/>
          <w:color w:val="000000" w:themeColor="text1"/>
          <w:sz w:val="32"/>
          <w:szCs w:val="32"/>
        </w:rPr>
        <w:t>一、技术概述</w:t>
      </w:r>
    </w:p>
    <w:p w:rsidR="00D13F86" w:rsidRDefault="00FC54D8">
      <w:pPr>
        <w:snapToGrid w:val="0"/>
        <w:spacing w:line="560" w:lineRule="exact"/>
        <w:ind w:firstLineChars="200" w:firstLine="640"/>
        <w:rPr>
          <w:rFonts w:ascii="Times New Roman" w:eastAsia="楷体_GB2312" w:hAnsi="Times New Roman"/>
          <w:color w:val="000000" w:themeColor="text1"/>
          <w:sz w:val="28"/>
          <w:szCs w:val="28"/>
        </w:rPr>
      </w:pPr>
      <w:r>
        <w:rPr>
          <w:rFonts w:ascii="Times New Roman" w:eastAsia="楷体" w:hAnsi="Times New Roman"/>
          <w:color w:val="000000" w:themeColor="text1"/>
          <w:sz w:val="32"/>
          <w:szCs w:val="32"/>
        </w:rPr>
        <w:t>（一）技术基本情况</w:t>
      </w:r>
      <w:r>
        <w:rPr>
          <w:rFonts w:ascii="Times New Roman" w:eastAsia="楷体_GB2312" w:hAnsi="Times New Roman"/>
          <w:color w:val="000000" w:themeColor="text1"/>
          <w:sz w:val="28"/>
          <w:szCs w:val="28"/>
        </w:rPr>
        <w:t>（技术研发推广背景，能够解决的主要问题</w:t>
      </w:r>
      <w:r>
        <w:rPr>
          <w:rFonts w:ascii="Times New Roman" w:eastAsia="楷体_GB2312" w:hAnsi="Times New Roman" w:hint="eastAsia"/>
          <w:color w:val="000000" w:themeColor="text1"/>
          <w:sz w:val="28"/>
          <w:szCs w:val="28"/>
        </w:rPr>
        <w:t>、知识产权及使用情况</w:t>
      </w:r>
      <w:r>
        <w:rPr>
          <w:rFonts w:ascii="Times New Roman" w:eastAsia="楷体_GB2312" w:hAnsi="Times New Roman"/>
          <w:color w:val="000000" w:themeColor="text1"/>
          <w:sz w:val="28"/>
          <w:szCs w:val="28"/>
        </w:rPr>
        <w:t>等）</w:t>
      </w:r>
    </w:p>
    <w:p w:rsidR="00D13F86" w:rsidRDefault="00FC54D8">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1.</w:t>
      </w:r>
      <w:r>
        <w:rPr>
          <w:rFonts w:ascii="仿宋_GB2312" w:eastAsia="仿宋_GB2312" w:hAnsi="仿宋_GB2312" w:cs="仿宋_GB2312" w:hint="eastAsia"/>
          <w:b/>
          <w:bCs/>
          <w:sz w:val="28"/>
          <w:szCs w:val="28"/>
        </w:rPr>
        <w:t>技术研发推广背景。</w:t>
      </w:r>
      <w:r>
        <w:rPr>
          <w:rFonts w:ascii="仿宋_GB2312" w:eastAsia="仿宋_GB2312" w:hAnsi="仿宋_GB2312" w:cs="仿宋_GB2312" w:hint="eastAsia"/>
          <w:sz w:val="28"/>
          <w:szCs w:val="28"/>
        </w:rPr>
        <w:t>近年来，省委、省政府决定大力发展设施蔬菜产业，各地创新思路，加大政策支持力度，推进了设施蔬菜产业的快速发展，全省设施蔬菜基地规模已达</w:t>
      </w:r>
      <w:r>
        <w:rPr>
          <w:rFonts w:ascii="仿宋_GB2312" w:eastAsia="仿宋_GB2312" w:hAnsi="仿宋_GB2312" w:cs="仿宋_GB2312" w:hint="eastAsia"/>
          <w:sz w:val="28"/>
          <w:szCs w:val="28"/>
        </w:rPr>
        <w:t>150</w:t>
      </w:r>
      <w:r>
        <w:rPr>
          <w:rFonts w:ascii="仿宋_GB2312" w:eastAsia="仿宋_GB2312" w:hAnsi="仿宋_GB2312" w:cs="仿宋_GB2312" w:hint="eastAsia"/>
          <w:sz w:val="28"/>
          <w:szCs w:val="28"/>
        </w:rPr>
        <w:t>万亩，总产值达</w:t>
      </w:r>
      <w:r>
        <w:rPr>
          <w:rFonts w:ascii="仿宋_GB2312" w:eastAsia="仿宋_GB2312" w:hAnsi="仿宋_GB2312" w:cs="仿宋_GB2312" w:hint="eastAsia"/>
          <w:sz w:val="28"/>
          <w:szCs w:val="28"/>
        </w:rPr>
        <w:t>300</w:t>
      </w:r>
      <w:r>
        <w:rPr>
          <w:rFonts w:ascii="仿宋_GB2312" w:eastAsia="仿宋_GB2312" w:hAnsi="仿宋_GB2312" w:cs="仿宋_GB2312" w:hint="eastAsia"/>
          <w:sz w:val="28"/>
          <w:szCs w:val="28"/>
        </w:rPr>
        <w:t>亿元以上，为保障我省“菜篮子”稳定供给、促进农民脱贫增收、助推乡村振兴发展发挥了重要作用。全省以赣州市宁都县设施蔬菜产业发展最为迅速，成效突出，全县已建成大棚设施蔬菜基地</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万亩，种植品种与茬口以辣椒越冬长茬为主，占设施蔬菜面积的</w:t>
      </w:r>
      <w:r>
        <w:rPr>
          <w:rFonts w:ascii="仿宋_GB2312" w:eastAsia="仿宋_GB2312" w:hAnsi="仿宋_GB2312" w:cs="仿宋_GB2312" w:hint="eastAsia"/>
          <w:sz w:val="28"/>
          <w:szCs w:val="28"/>
        </w:rPr>
        <w:t>80%</w:t>
      </w:r>
      <w:r>
        <w:rPr>
          <w:rFonts w:ascii="仿宋_GB2312" w:eastAsia="仿宋_GB2312" w:hAnsi="仿宋_GB2312" w:cs="仿宋_GB2312" w:hint="eastAsia"/>
          <w:sz w:val="28"/>
          <w:szCs w:val="28"/>
        </w:rPr>
        <w:t>左右，已注册“宁都辣椒”国家地理标志证明商标。宁都县积极探索创新，于</w:t>
      </w:r>
      <w:r>
        <w:rPr>
          <w:rFonts w:ascii="仿宋_GB2312" w:eastAsia="仿宋_GB2312" w:hAnsi="仿宋_GB2312" w:cs="仿宋_GB2312" w:hint="eastAsia"/>
          <w:sz w:val="28"/>
          <w:szCs w:val="28"/>
        </w:rPr>
        <w:t>2018</w:t>
      </w:r>
      <w:r>
        <w:rPr>
          <w:rFonts w:ascii="仿宋_GB2312" w:eastAsia="仿宋_GB2312" w:hAnsi="仿宋_GB2312" w:cs="仿宋_GB2312" w:hint="eastAsia"/>
          <w:sz w:val="28"/>
          <w:szCs w:val="28"/>
        </w:rPr>
        <w:t>年起，在引进寿光蔬菜种植技术的基础上，通过生产实践中的不断改进优化，总结出适应本省气候、土壤、地形、大棚设施等条件的辣椒越冬长茬设施栽培技术模式，该技术已在宁都、赣州及全省其他</w:t>
      </w:r>
      <w:r>
        <w:rPr>
          <w:rFonts w:ascii="仿宋_GB2312" w:eastAsia="仿宋_GB2312" w:hAnsi="仿宋_GB2312" w:cs="仿宋_GB2312" w:hint="eastAsia"/>
          <w:sz w:val="28"/>
          <w:szCs w:val="28"/>
        </w:rPr>
        <w:t>市、县大面积推广应用，并逐年扩大，现推广面积已达年</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万亩以上，总产量</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万吨以上，总产值达</w:t>
      </w:r>
      <w:r>
        <w:rPr>
          <w:rFonts w:ascii="仿宋_GB2312" w:eastAsia="仿宋_GB2312" w:hAnsi="仿宋_GB2312" w:cs="仿宋_GB2312" w:hint="eastAsia"/>
          <w:sz w:val="28"/>
          <w:szCs w:val="28"/>
        </w:rPr>
        <w:t>30</w:t>
      </w:r>
      <w:r>
        <w:rPr>
          <w:rFonts w:ascii="仿宋_GB2312" w:eastAsia="仿宋_GB2312" w:hAnsi="仿宋_GB2312" w:cs="仿宋_GB2312" w:hint="eastAsia"/>
          <w:sz w:val="28"/>
          <w:szCs w:val="28"/>
        </w:rPr>
        <w:t>亿元。多年生产实践证明，该技术模式实用性强，种植效益显著，具有十巨大的推广价值。</w:t>
      </w:r>
    </w:p>
    <w:p w:rsidR="00D13F86" w:rsidRDefault="00FC54D8">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2.</w:t>
      </w:r>
      <w:r>
        <w:rPr>
          <w:rFonts w:ascii="仿宋_GB2312" w:eastAsia="仿宋_GB2312" w:hAnsi="仿宋_GB2312" w:cs="仿宋_GB2312" w:hint="eastAsia"/>
          <w:b/>
          <w:bCs/>
          <w:sz w:val="28"/>
          <w:szCs w:val="28"/>
        </w:rPr>
        <w:t>解决的主要问题。</w:t>
      </w:r>
      <w:r>
        <w:rPr>
          <w:rFonts w:ascii="仿宋_GB2312" w:eastAsia="仿宋_GB2312" w:hAnsi="仿宋_GB2312" w:cs="仿宋_GB2312" w:hint="eastAsia"/>
          <w:sz w:val="28"/>
          <w:szCs w:val="28"/>
        </w:rPr>
        <w:t>该技术模式主要解决了以下问题：</w:t>
      </w:r>
    </w:p>
    <w:p w:rsidR="00D13F86" w:rsidRDefault="00FC54D8">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大棚设施利用问题。越冬栽培最关键的是要求大棚设施具有良好的保温性，能确保蔬菜安全越冬，实现反季节生产，较大提高蔬菜种植的市场效益。针对南方气候特点，经实际生产使用过程中不断改进优化，设计建造顶部竖式通风双膜连栋大棚，该棚型具有结构</w:t>
      </w:r>
      <w:r>
        <w:rPr>
          <w:rFonts w:ascii="仿宋_GB2312" w:eastAsia="仿宋_GB2312" w:hAnsi="仿宋_GB2312" w:cs="仿宋_GB2312" w:hint="eastAsia"/>
          <w:sz w:val="28"/>
          <w:szCs w:val="28"/>
        </w:rPr>
        <w:lastRenderedPageBreak/>
        <w:t>牢固耐用、保温通风效果良好、操作便易、成本投入</w:t>
      </w:r>
      <w:r>
        <w:rPr>
          <w:rFonts w:ascii="仿宋_GB2312" w:eastAsia="仿宋_GB2312" w:hAnsi="仿宋_GB2312" w:cs="仿宋_GB2312" w:hint="eastAsia"/>
          <w:sz w:val="28"/>
          <w:szCs w:val="28"/>
        </w:rPr>
        <w:t>性价比高等优点，可完全解决辣椒越冬栽培的大棚设施利用问题。</w:t>
      </w:r>
    </w:p>
    <w:p w:rsidR="00D13F86" w:rsidRDefault="00FC54D8">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）辣椒连作障碍问题。通过增施有机肥、石灰等进行土壤改良，采用夏季高温闷棚、药剂消毒等技术，可明显减少土传病虫害发生，减轻土壤盐渍化，有效克服辣椒种植连作障碍问题，实现辣椒多年连续种植。</w:t>
      </w:r>
    </w:p>
    <w:p w:rsidR="00D13F86" w:rsidRDefault="00FC54D8">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）种植效益问题。辣椒越冬长茬设施栽培持续在田生产管理时间达</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个月，平均产量可达</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万斤</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亩以上，高的达</w:t>
      </w:r>
      <w:r>
        <w:rPr>
          <w:rFonts w:ascii="仿宋_GB2312" w:eastAsia="仿宋_GB2312" w:hAnsi="仿宋_GB2312" w:cs="仿宋_GB2312" w:hint="eastAsia"/>
          <w:sz w:val="28"/>
          <w:szCs w:val="28"/>
        </w:rPr>
        <w:t>1.5-2</w:t>
      </w:r>
      <w:r>
        <w:rPr>
          <w:rFonts w:ascii="仿宋_GB2312" w:eastAsia="仿宋_GB2312" w:hAnsi="仿宋_GB2312" w:cs="仿宋_GB2312" w:hint="eastAsia"/>
          <w:sz w:val="28"/>
          <w:szCs w:val="28"/>
        </w:rPr>
        <w:t>万斤</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亩；产值</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万元</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亩左右，高的达</w:t>
      </w:r>
      <w:r>
        <w:rPr>
          <w:rFonts w:ascii="仿宋_GB2312" w:eastAsia="仿宋_GB2312" w:hAnsi="仿宋_GB2312" w:cs="仿宋_GB2312" w:hint="eastAsia"/>
          <w:sz w:val="28"/>
          <w:szCs w:val="28"/>
        </w:rPr>
        <w:t>4-5</w:t>
      </w:r>
      <w:r>
        <w:rPr>
          <w:rFonts w:ascii="仿宋_GB2312" w:eastAsia="仿宋_GB2312" w:hAnsi="仿宋_GB2312" w:cs="仿宋_GB2312" w:hint="eastAsia"/>
          <w:sz w:val="28"/>
          <w:szCs w:val="28"/>
        </w:rPr>
        <w:t>万元</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亩；纯利润</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万元</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亩左右，高的达</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万</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亩以上。一般每户农户可精细管理大棚</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亩左右，每户种植户</w:t>
      </w:r>
      <w:r>
        <w:rPr>
          <w:rFonts w:ascii="仿宋_GB2312" w:eastAsia="仿宋_GB2312" w:hAnsi="仿宋_GB2312" w:cs="仿宋_GB2312" w:hint="eastAsia"/>
          <w:sz w:val="28"/>
          <w:szCs w:val="28"/>
        </w:rPr>
        <w:t>年纯收入可达</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万元以上。</w:t>
      </w:r>
    </w:p>
    <w:p w:rsidR="00D13F86" w:rsidRDefault="00FC54D8">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技术标准化问题。该技术已经多年的生产实践检验证明实用可行，技术水平全省领先，并已提练总结出规范化、通用性的技术标准模式，对技术模式的含义定义、产地环境、大棚设施、品种选择、土壤改良与消毒、辣椒栽培技术、注意事项等方面进行了规范，已申报江西省地方标准立项，可在全省推广。</w:t>
      </w:r>
    </w:p>
    <w:p w:rsidR="00D13F86" w:rsidRDefault="00FC54D8">
      <w:pPr>
        <w:widowControl/>
        <w:ind w:firstLineChars="200" w:firstLine="562"/>
        <w:jc w:val="left"/>
        <w:rPr>
          <w:rFonts w:ascii="Times New Roman" w:eastAsia="楷体_GB2312" w:hAnsi="Times New Roman"/>
          <w:color w:val="000000" w:themeColor="text1"/>
          <w:sz w:val="28"/>
          <w:szCs w:val="28"/>
        </w:rPr>
      </w:pPr>
      <w:r>
        <w:rPr>
          <w:rFonts w:ascii="仿宋_GB2312" w:eastAsia="仿宋_GB2312" w:hAnsi="仿宋_GB2312" w:cs="仿宋_GB2312" w:hint="eastAsia"/>
          <w:b/>
          <w:bCs/>
          <w:sz w:val="28"/>
          <w:szCs w:val="28"/>
        </w:rPr>
        <w:t>3.</w:t>
      </w:r>
      <w:r>
        <w:rPr>
          <w:rFonts w:ascii="仿宋_GB2312" w:eastAsia="仿宋_GB2312" w:hAnsi="仿宋_GB2312" w:cs="仿宋_GB2312" w:hint="eastAsia"/>
          <w:b/>
          <w:bCs/>
          <w:sz w:val="28"/>
          <w:szCs w:val="28"/>
        </w:rPr>
        <w:t>专利使用情况。</w:t>
      </w:r>
      <w:r>
        <w:rPr>
          <w:rFonts w:ascii="宋体" w:eastAsia="仿宋_GB2312" w:hAnsi="宋体" w:cs="Times New Roman" w:hint="eastAsia"/>
          <w:sz w:val="28"/>
          <w:szCs w:val="28"/>
        </w:rPr>
        <w:t>宁都县大棚创新设计已取得两项国家新型实用专利证书，分别为“一种保温控湿大棚”专利证书号第</w:t>
      </w:r>
      <w:r>
        <w:rPr>
          <w:rFonts w:ascii="宋体" w:eastAsia="仿宋_GB2312" w:hAnsi="宋体" w:cs="Times New Roman" w:hint="eastAsia"/>
          <w:sz w:val="28"/>
          <w:szCs w:val="28"/>
        </w:rPr>
        <w:t>13958579</w:t>
      </w:r>
      <w:r>
        <w:rPr>
          <w:rFonts w:ascii="宋体" w:eastAsia="仿宋_GB2312" w:hAnsi="宋体" w:cs="Times New Roman" w:hint="eastAsia"/>
          <w:sz w:val="28"/>
          <w:szCs w:val="28"/>
        </w:rPr>
        <w:t>号、“一种内遮阳降温大棚”专利证书号第</w:t>
      </w:r>
      <w:r>
        <w:rPr>
          <w:rFonts w:ascii="宋体" w:eastAsia="仿宋_GB2312" w:hAnsi="宋体" w:cs="Times New Roman" w:hint="eastAsia"/>
          <w:sz w:val="28"/>
          <w:szCs w:val="28"/>
        </w:rPr>
        <w:t>13238847</w:t>
      </w:r>
      <w:r>
        <w:rPr>
          <w:rFonts w:ascii="宋体" w:eastAsia="仿宋_GB2312" w:hAnsi="宋体" w:cs="Times New Roman" w:hint="eastAsia"/>
          <w:sz w:val="28"/>
          <w:szCs w:val="28"/>
        </w:rPr>
        <w:t>号）。该专利为非营利性公益技术，</w:t>
      </w:r>
      <w:r>
        <w:rPr>
          <w:rFonts w:ascii="宋体" w:eastAsia="仿宋_GB2312" w:hAnsi="宋体" w:cs="Times New Roman" w:hint="eastAsia"/>
          <w:sz w:val="28"/>
          <w:szCs w:val="28"/>
        </w:rPr>
        <w:t>已应用于全省大棚设施建设，应用面积达</w:t>
      </w:r>
      <w:r>
        <w:rPr>
          <w:rFonts w:ascii="宋体" w:eastAsia="仿宋_GB2312" w:hAnsi="宋体" w:cs="Times New Roman" w:hint="eastAsia"/>
          <w:sz w:val="28"/>
          <w:szCs w:val="28"/>
        </w:rPr>
        <w:t>50</w:t>
      </w:r>
      <w:r>
        <w:rPr>
          <w:rFonts w:ascii="宋体" w:eastAsia="仿宋_GB2312" w:hAnsi="宋体" w:cs="Times New Roman" w:hint="eastAsia"/>
          <w:sz w:val="28"/>
          <w:szCs w:val="28"/>
        </w:rPr>
        <w:t>万亩以上。</w:t>
      </w:r>
    </w:p>
    <w:p w:rsidR="00D13F86" w:rsidRDefault="00FC54D8">
      <w:pPr>
        <w:snapToGrid w:val="0"/>
        <w:spacing w:line="600" w:lineRule="exact"/>
        <w:ind w:firstLine="640"/>
        <w:rPr>
          <w:rFonts w:ascii="Times New Roman" w:eastAsia="楷体_GB2312" w:hAnsi="Times New Roman"/>
          <w:color w:val="000000" w:themeColor="text1"/>
          <w:sz w:val="28"/>
          <w:szCs w:val="28"/>
        </w:rPr>
      </w:pPr>
      <w:r>
        <w:rPr>
          <w:rFonts w:ascii="Times New Roman" w:eastAsia="楷体" w:hAnsi="Times New Roman"/>
          <w:color w:val="000000" w:themeColor="text1"/>
          <w:sz w:val="32"/>
          <w:szCs w:val="32"/>
        </w:rPr>
        <w:t>（二）技术示范推广情况</w:t>
      </w:r>
      <w:r>
        <w:rPr>
          <w:rFonts w:ascii="Times New Roman" w:eastAsia="楷体_GB2312" w:hAnsi="Times New Roman"/>
          <w:color w:val="000000" w:themeColor="text1"/>
          <w:sz w:val="28"/>
          <w:szCs w:val="28"/>
        </w:rPr>
        <w:t>（推荐技术示范展示范围，在</w:t>
      </w:r>
      <w:r>
        <w:rPr>
          <w:rFonts w:ascii="Times New Roman" w:eastAsia="楷体_GB2312" w:hAnsi="Times New Roman" w:hint="eastAsia"/>
          <w:color w:val="000000" w:themeColor="text1"/>
          <w:sz w:val="28"/>
          <w:szCs w:val="28"/>
        </w:rPr>
        <w:t>各级农业科技示范展示基地等示范推广情况</w:t>
      </w:r>
      <w:r>
        <w:rPr>
          <w:rFonts w:ascii="Times New Roman" w:eastAsia="楷体_GB2312" w:hAnsi="Times New Roman"/>
          <w:color w:val="000000" w:themeColor="text1"/>
          <w:sz w:val="28"/>
          <w:szCs w:val="28"/>
        </w:rPr>
        <w:t>）</w:t>
      </w:r>
    </w:p>
    <w:p w:rsidR="00D13F86" w:rsidRDefault="00FC54D8">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辣椒越冬长茬设施栽培技术最初</w:t>
      </w:r>
      <w:r>
        <w:rPr>
          <w:rFonts w:ascii="仿宋_GB2312" w:eastAsia="仿宋_GB2312" w:hAnsi="仿宋_GB2312" w:cs="仿宋_GB2312" w:hint="eastAsia"/>
          <w:sz w:val="28"/>
          <w:szCs w:val="28"/>
        </w:rPr>
        <w:t>于</w:t>
      </w:r>
      <w:r>
        <w:rPr>
          <w:rFonts w:ascii="仿宋_GB2312" w:eastAsia="仿宋_GB2312" w:hAnsi="仿宋_GB2312" w:cs="仿宋_GB2312" w:hint="eastAsia"/>
          <w:sz w:val="28"/>
          <w:szCs w:val="28"/>
        </w:rPr>
        <w:t>2018</w:t>
      </w:r>
      <w:r>
        <w:rPr>
          <w:rFonts w:ascii="仿宋_GB2312" w:eastAsia="仿宋_GB2312" w:hAnsi="仿宋_GB2312" w:cs="仿宋_GB2312" w:hint="eastAsia"/>
          <w:sz w:val="28"/>
          <w:szCs w:val="28"/>
        </w:rPr>
        <w:t>年在宁都县引进和试验</w:t>
      </w:r>
      <w:r>
        <w:rPr>
          <w:rFonts w:ascii="仿宋_GB2312" w:eastAsia="仿宋_GB2312" w:hAnsi="仿宋_GB2312" w:cs="仿宋_GB2312" w:hint="eastAsia"/>
          <w:sz w:val="28"/>
          <w:szCs w:val="28"/>
        </w:rPr>
        <w:lastRenderedPageBreak/>
        <w:t>示范推广，宁都县从</w:t>
      </w:r>
      <w:r>
        <w:rPr>
          <w:rFonts w:ascii="仿宋_GB2312" w:eastAsia="仿宋_GB2312" w:hAnsi="仿宋_GB2312" w:cs="仿宋_GB2312" w:hint="eastAsia"/>
          <w:sz w:val="28"/>
          <w:szCs w:val="28"/>
        </w:rPr>
        <w:t>2018</w:t>
      </w:r>
      <w:r>
        <w:rPr>
          <w:rFonts w:ascii="仿宋_GB2312" w:eastAsia="仿宋_GB2312" w:hAnsi="仿宋_GB2312" w:cs="仿宋_GB2312" w:hint="eastAsia"/>
          <w:sz w:val="28"/>
          <w:szCs w:val="28"/>
        </w:rPr>
        <w:t>年在青塘镇、田头镇、长胜镇、固厚乡，黄陂镇、</w:t>
      </w:r>
      <w:r>
        <w:rPr>
          <w:rFonts w:ascii="仿宋_GB2312" w:eastAsia="仿宋_GB2312" w:hAnsi="仿宋_GB2312" w:cs="仿宋_GB2312" w:hint="eastAsia"/>
          <w:sz w:val="28"/>
          <w:szCs w:val="28"/>
        </w:rPr>
        <w:t>黄石镇</w:t>
      </w:r>
      <w:r>
        <w:rPr>
          <w:rFonts w:ascii="仿宋_GB2312" w:eastAsia="仿宋_GB2312" w:hAnsi="仿宋_GB2312" w:cs="仿宋_GB2312" w:hint="eastAsia"/>
          <w:sz w:val="28"/>
          <w:szCs w:val="28"/>
        </w:rPr>
        <w:t>等六个乡镇</w:t>
      </w:r>
      <w:r>
        <w:rPr>
          <w:rFonts w:ascii="仿宋_GB2312" w:eastAsia="仿宋_GB2312" w:hAnsi="仿宋_GB2312" w:cs="仿宋_GB2312" w:hint="eastAsia"/>
          <w:sz w:val="28"/>
          <w:szCs w:val="28"/>
        </w:rPr>
        <w:t>八</w:t>
      </w:r>
      <w:r>
        <w:rPr>
          <w:rFonts w:ascii="仿宋_GB2312" w:eastAsia="仿宋_GB2312" w:hAnsi="仿宋_GB2312" w:cs="仿宋_GB2312" w:hint="eastAsia"/>
          <w:sz w:val="28"/>
          <w:szCs w:val="28"/>
        </w:rPr>
        <w:t>个基地</w:t>
      </w:r>
      <w:r>
        <w:rPr>
          <w:rFonts w:ascii="仿宋_GB2312" w:eastAsia="仿宋_GB2312" w:hAnsi="仿宋_GB2312" w:cs="仿宋_GB2312" w:hint="eastAsia"/>
          <w:sz w:val="28"/>
          <w:szCs w:val="28"/>
        </w:rPr>
        <w:t>示</w:t>
      </w:r>
      <w:r>
        <w:rPr>
          <w:rFonts w:ascii="仿宋_GB2312" w:eastAsia="仿宋_GB2312" w:hAnsi="仿宋_GB2312" w:cs="仿宋_GB2312" w:hint="eastAsia"/>
          <w:sz w:val="28"/>
          <w:szCs w:val="28"/>
        </w:rPr>
        <w:t>范推广</w:t>
      </w:r>
      <w:r>
        <w:rPr>
          <w:rFonts w:ascii="仿宋_GB2312" w:eastAsia="仿宋_GB2312" w:hAnsi="仿宋_GB2312" w:cs="仿宋_GB2312" w:hint="eastAsia"/>
          <w:sz w:val="28"/>
          <w:szCs w:val="28"/>
        </w:rPr>
        <w:t>2700</w:t>
      </w:r>
      <w:r>
        <w:rPr>
          <w:rFonts w:ascii="仿宋_GB2312" w:eastAsia="仿宋_GB2312" w:hAnsi="仿宋_GB2312" w:cs="仿宋_GB2312" w:hint="eastAsia"/>
          <w:sz w:val="28"/>
          <w:szCs w:val="28"/>
        </w:rPr>
        <w:t>余亩，发展到</w:t>
      </w:r>
      <w:r>
        <w:rPr>
          <w:rFonts w:ascii="仿宋_GB2312" w:eastAsia="仿宋_GB2312" w:hAnsi="仿宋_GB2312" w:cs="仿宋_GB2312" w:hint="eastAsia"/>
          <w:sz w:val="28"/>
          <w:szCs w:val="28"/>
        </w:rPr>
        <w:t>2023</w:t>
      </w:r>
      <w:r>
        <w:rPr>
          <w:rFonts w:ascii="仿宋_GB2312" w:eastAsia="仿宋_GB2312" w:hAnsi="仿宋_GB2312" w:cs="仿宋_GB2312" w:hint="eastAsia"/>
          <w:sz w:val="28"/>
          <w:szCs w:val="28"/>
        </w:rPr>
        <w:t>年覆盖全县</w:t>
      </w:r>
      <w:r>
        <w:rPr>
          <w:rFonts w:ascii="仿宋_GB2312" w:eastAsia="仿宋_GB2312" w:hAnsi="仿宋_GB2312" w:cs="仿宋_GB2312" w:hint="eastAsia"/>
          <w:sz w:val="28"/>
          <w:szCs w:val="28"/>
        </w:rPr>
        <w:t>24</w:t>
      </w:r>
      <w:r>
        <w:rPr>
          <w:rFonts w:ascii="仿宋_GB2312" w:eastAsia="仿宋_GB2312" w:hAnsi="仿宋_GB2312" w:cs="仿宋_GB2312" w:hint="eastAsia"/>
          <w:sz w:val="28"/>
          <w:szCs w:val="28"/>
        </w:rPr>
        <w:t>个乡镇</w:t>
      </w:r>
      <w:r>
        <w:rPr>
          <w:rFonts w:ascii="仿宋_GB2312" w:eastAsia="仿宋_GB2312" w:hAnsi="仿宋_GB2312" w:cs="仿宋_GB2312" w:hint="eastAsia"/>
          <w:sz w:val="28"/>
          <w:szCs w:val="28"/>
        </w:rPr>
        <w:t>257</w:t>
      </w:r>
      <w:r>
        <w:rPr>
          <w:rFonts w:ascii="仿宋_GB2312" w:eastAsia="仿宋_GB2312" w:hAnsi="仿宋_GB2312" w:cs="仿宋_GB2312" w:hint="eastAsia"/>
          <w:sz w:val="28"/>
          <w:szCs w:val="28"/>
        </w:rPr>
        <w:t>个基地推广应用达</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万亩。</w:t>
      </w:r>
      <w:r>
        <w:rPr>
          <w:rFonts w:ascii="仿宋_GB2312" w:eastAsia="仿宋_GB2312" w:hAnsi="仿宋_GB2312" w:cs="仿宋_GB2312" w:hint="eastAsia"/>
          <w:sz w:val="28"/>
          <w:szCs w:val="28"/>
        </w:rPr>
        <w:t>2019</w:t>
      </w:r>
      <w:r>
        <w:rPr>
          <w:rFonts w:ascii="仿宋_GB2312" w:eastAsia="仿宋_GB2312" w:hAnsi="仿宋_GB2312" w:cs="仿宋_GB2312" w:hint="eastAsia"/>
          <w:sz w:val="28"/>
          <w:szCs w:val="28"/>
        </w:rPr>
        <w:t>年起在赣州市全市推广应用，并辐射带动周边省内其他市县推广应用。至今省内各市区市和各兄弟县市已有数千批人次组团到宁都县及赣州参观考察学习，实现该技术模式在全省的大范围推广应用，每年推广应用面积达</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万亩以上，并呈逐年扩大趋势。同时，宁都县积极对外输出技术力量，为有需求的兄弟市县提供技术支持，已在赣州各县市及抚州、吉安、南昌、上饶、九江等地有关县市，派出专业技术人员进行授课和现场技术指导，为快速推广技术作出了巨大贡献。</w:t>
      </w:r>
    </w:p>
    <w:p w:rsidR="00D13F86" w:rsidRDefault="00FC54D8">
      <w:pPr>
        <w:spacing w:line="560" w:lineRule="exact"/>
        <w:ind w:firstLineChars="200" w:firstLine="562"/>
        <w:jc w:val="center"/>
        <w:rPr>
          <w:rFonts w:ascii="仿宋_GB2312" w:eastAsia="仿宋_GB2312" w:hAnsi="仿宋_GB2312" w:cs="仿宋_GB2312"/>
          <w:b/>
          <w:bCs/>
          <w:sz w:val="28"/>
          <w:szCs w:val="28"/>
        </w:rPr>
      </w:pPr>
      <w:r>
        <w:rPr>
          <w:rFonts w:ascii="仿宋_GB2312" w:eastAsia="仿宋_GB2312" w:hAnsi="仿宋_GB2312" w:cs="仿宋_GB2312" w:hint="eastAsia"/>
          <w:b/>
          <w:bCs/>
          <w:noProof/>
          <w:sz w:val="28"/>
          <w:szCs w:val="28"/>
        </w:rPr>
        <w:drawing>
          <wp:anchor distT="0" distB="0" distL="114300" distR="114300" simplePos="0" relativeHeight="251672576" behindDoc="0" locked="0" layoutInCell="1" allowOverlap="1">
            <wp:simplePos x="0" y="0"/>
            <wp:positionH relativeFrom="column">
              <wp:posOffset>35560</wp:posOffset>
            </wp:positionH>
            <wp:positionV relativeFrom="paragraph">
              <wp:posOffset>78740</wp:posOffset>
            </wp:positionV>
            <wp:extent cx="5256530" cy="3943350"/>
            <wp:effectExtent l="0" t="0" r="1270" b="3810"/>
            <wp:wrapSquare wrapText="bothSides"/>
            <wp:docPr id="2" name="图片 2" descr="a3aa12b742a37d82c963187f7a20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3aa12b742a37d82c963187f7a20e36"/>
                    <pic:cNvPicPr>
                      <a:picLocks noChangeAspect="1"/>
                    </pic:cNvPicPr>
                  </pic:nvPicPr>
                  <pic:blipFill>
                    <a:blip r:embed="rId6"/>
                    <a:stretch>
                      <a:fillRect/>
                    </a:stretch>
                  </pic:blipFill>
                  <pic:spPr>
                    <a:xfrm>
                      <a:off x="0" y="0"/>
                      <a:ext cx="5256530" cy="3943350"/>
                    </a:xfrm>
                    <a:prstGeom prst="rect">
                      <a:avLst/>
                    </a:prstGeom>
                  </pic:spPr>
                </pic:pic>
              </a:graphicData>
            </a:graphic>
          </wp:anchor>
        </w:drawing>
      </w:r>
      <w:r>
        <w:rPr>
          <w:rFonts w:ascii="仿宋_GB2312" w:eastAsia="仿宋_GB2312" w:hAnsi="仿宋_GB2312" w:cs="仿宋_GB2312" w:hint="eastAsia"/>
          <w:b/>
          <w:bCs/>
          <w:sz w:val="28"/>
          <w:szCs w:val="28"/>
        </w:rPr>
        <w:t>在抚州示范推广</w:t>
      </w:r>
    </w:p>
    <w:p w:rsidR="00D13F86" w:rsidRDefault="00D13F86">
      <w:pPr>
        <w:spacing w:line="560" w:lineRule="exact"/>
        <w:ind w:firstLineChars="200" w:firstLine="560"/>
        <w:rPr>
          <w:rFonts w:ascii="仿宋_GB2312" w:eastAsia="仿宋_GB2312" w:hAnsi="仿宋_GB2312" w:cs="仿宋_GB2312"/>
          <w:sz w:val="28"/>
          <w:szCs w:val="28"/>
        </w:rPr>
      </w:pPr>
    </w:p>
    <w:p w:rsidR="00D13F86" w:rsidRDefault="00D13F86">
      <w:pPr>
        <w:spacing w:line="560" w:lineRule="exact"/>
        <w:ind w:firstLineChars="200" w:firstLine="560"/>
        <w:rPr>
          <w:rFonts w:ascii="仿宋_GB2312" w:eastAsia="仿宋_GB2312" w:hAnsi="仿宋_GB2312" w:cs="仿宋_GB2312"/>
          <w:sz w:val="28"/>
          <w:szCs w:val="28"/>
        </w:rPr>
      </w:pPr>
    </w:p>
    <w:p w:rsidR="00D13F86" w:rsidRDefault="00FC54D8">
      <w:pPr>
        <w:spacing w:line="560" w:lineRule="exact"/>
        <w:ind w:firstLineChars="200" w:firstLine="562"/>
        <w:jc w:val="center"/>
        <w:rPr>
          <w:rFonts w:ascii="仿宋_GB2312" w:eastAsia="仿宋_GB2312" w:hAnsi="仿宋_GB2312" w:cs="仿宋_GB2312"/>
          <w:b/>
          <w:bCs/>
          <w:sz w:val="28"/>
          <w:szCs w:val="28"/>
        </w:rPr>
      </w:pPr>
      <w:r>
        <w:rPr>
          <w:rFonts w:ascii="仿宋_GB2312" w:eastAsia="仿宋_GB2312" w:hAnsi="仿宋_GB2312" w:cs="仿宋_GB2312"/>
          <w:b/>
          <w:bCs/>
          <w:noProof/>
          <w:sz w:val="28"/>
          <w:szCs w:val="28"/>
        </w:rPr>
        <w:lastRenderedPageBreak/>
        <w:drawing>
          <wp:anchor distT="0" distB="0" distL="114300" distR="114300" simplePos="0" relativeHeight="251673600" behindDoc="0" locked="0" layoutInCell="1" allowOverlap="1">
            <wp:simplePos x="0" y="0"/>
            <wp:positionH relativeFrom="column">
              <wp:posOffset>149860</wp:posOffset>
            </wp:positionH>
            <wp:positionV relativeFrom="paragraph">
              <wp:posOffset>121920</wp:posOffset>
            </wp:positionV>
            <wp:extent cx="5264150" cy="3949065"/>
            <wp:effectExtent l="0" t="0" r="8890" b="13335"/>
            <wp:wrapSquare wrapText="bothSides"/>
            <wp:docPr id="15" name="图片 15" descr="9099328fbddbcc4e3da3d857c3ba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099328fbddbcc4e3da3d857c3baadd"/>
                    <pic:cNvPicPr>
                      <a:picLocks noChangeAspect="1"/>
                    </pic:cNvPicPr>
                  </pic:nvPicPr>
                  <pic:blipFill>
                    <a:blip r:embed="rId7"/>
                    <a:stretch>
                      <a:fillRect/>
                    </a:stretch>
                  </pic:blipFill>
                  <pic:spPr>
                    <a:xfrm>
                      <a:off x="0" y="0"/>
                      <a:ext cx="5264150" cy="3949065"/>
                    </a:xfrm>
                    <a:prstGeom prst="rect">
                      <a:avLst/>
                    </a:prstGeom>
                  </pic:spPr>
                </pic:pic>
              </a:graphicData>
            </a:graphic>
          </wp:anchor>
        </w:drawing>
      </w:r>
      <w:r>
        <w:rPr>
          <w:rFonts w:ascii="仿宋_GB2312" w:eastAsia="仿宋_GB2312" w:hAnsi="仿宋_GB2312" w:cs="仿宋_GB2312" w:hint="eastAsia"/>
          <w:b/>
          <w:bCs/>
          <w:sz w:val="28"/>
          <w:szCs w:val="28"/>
        </w:rPr>
        <w:t>在宁都试验示范推广</w:t>
      </w:r>
    </w:p>
    <w:p w:rsidR="00D13F86" w:rsidRDefault="00FC54D8">
      <w:pPr>
        <w:snapToGrid w:val="0"/>
        <w:spacing w:line="600" w:lineRule="exact"/>
        <w:ind w:firstLine="640"/>
        <w:rPr>
          <w:rFonts w:ascii="Times New Roman" w:eastAsia="楷体_GB2312" w:hAnsi="Times New Roman"/>
          <w:color w:val="000000" w:themeColor="text1"/>
          <w:sz w:val="28"/>
          <w:szCs w:val="28"/>
        </w:rPr>
      </w:pPr>
      <w:r>
        <w:rPr>
          <w:rFonts w:ascii="Times New Roman" w:eastAsia="楷体" w:hAnsi="Times New Roman"/>
          <w:color w:val="000000" w:themeColor="text1"/>
          <w:sz w:val="32"/>
          <w:szCs w:val="32"/>
        </w:rPr>
        <w:t>（三）提质增效情况</w:t>
      </w:r>
      <w:r>
        <w:rPr>
          <w:rFonts w:ascii="Times New Roman" w:eastAsia="楷体_GB2312" w:hAnsi="Times New Roman"/>
          <w:color w:val="000000" w:themeColor="text1"/>
          <w:sz w:val="28"/>
          <w:szCs w:val="28"/>
        </w:rPr>
        <w:t>（技术试验、示范或推广过程中节约成本、提升品质、增加效益、保护耕地与生态环保等情况）</w:t>
      </w:r>
    </w:p>
    <w:p w:rsidR="00D13F86" w:rsidRDefault="00FC54D8">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1.</w:t>
      </w:r>
      <w:r>
        <w:rPr>
          <w:rFonts w:ascii="仿宋_GB2312" w:eastAsia="仿宋_GB2312" w:hAnsi="仿宋_GB2312" w:cs="仿宋_GB2312" w:hint="eastAsia"/>
          <w:b/>
          <w:bCs/>
          <w:sz w:val="28"/>
          <w:szCs w:val="28"/>
        </w:rPr>
        <w:t>试验筛选主推品种。</w:t>
      </w:r>
      <w:r>
        <w:rPr>
          <w:rFonts w:ascii="仿宋_GB2312" w:eastAsia="仿宋_GB2312" w:hAnsi="仿宋_GB2312" w:cs="仿宋_GB2312" w:hint="eastAsia"/>
          <w:sz w:val="28"/>
          <w:szCs w:val="28"/>
        </w:rPr>
        <w:t>设施栽培对品种的要求较高，应用于设施栽培的辣椒品种必须经</w:t>
      </w:r>
      <w:r>
        <w:rPr>
          <w:rFonts w:ascii="仿宋_GB2312" w:eastAsia="仿宋_GB2312" w:hAnsi="仿宋_GB2312" w:cs="仿宋_GB2312" w:hint="eastAsia"/>
          <w:sz w:val="28"/>
          <w:szCs w:val="28"/>
        </w:rPr>
        <w:t>2-3</w:t>
      </w:r>
      <w:r>
        <w:rPr>
          <w:rFonts w:ascii="仿宋_GB2312" w:eastAsia="仿宋_GB2312" w:hAnsi="仿宋_GB2312" w:cs="仿宋_GB2312" w:hint="eastAsia"/>
          <w:sz w:val="28"/>
          <w:szCs w:val="28"/>
        </w:rPr>
        <w:t>年的筛选和示范种植，品种的适应性表现稳定良好后才能大面积推广应用。宁都县每年进行辣椒品种筛选</w:t>
      </w:r>
      <w:r>
        <w:rPr>
          <w:rFonts w:ascii="仿宋_GB2312" w:eastAsia="仿宋_GB2312" w:hAnsi="仿宋_GB2312" w:cs="仿宋_GB2312" w:hint="eastAsia"/>
          <w:sz w:val="28"/>
          <w:szCs w:val="28"/>
        </w:rPr>
        <w:t>200</w:t>
      </w:r>
      <w:r>
        <w:rPr>
          <w:rFonts w:ascii="仿宋_GB2312" w:eastAsia="仿宋_GB2312" w:hAnsi="仿宋_GB2312" w:cs="仿宋_GB2312" w:hint="eastAsia"/>
          <w:sz w:val="28"/>
          <w:szCs w:val="28"/>
        </w:rPr>
        <w:t>个左右，现已筛选出适应性强、产量高、品质好、市场销售畅的辣椒新品种有博陇</w:t>
      </w:r>
      <w:r>
        <w:rPr>
          <w:rFonts w:ascii="仿宋_GB2312" w:eastAsia="仿宋_GB2312" w:hAnsi="仿宋_GB2312" w:cs="仿宋_GB2312" w:hint="eastAsia"/>
          <w:sz w:val="28"/>
          <w:szCs w:val="28"/>
        </w:rPr>
        <w:t>37-94</w:t>
      </w:r>
      <w:r>
        <w:rPr>
          <w:rFonts w:ascii="仿宋_GB2312" w:eastAsia="仿宋_GB2312" w:hAnsi="仿宋_GB2312" w:cs="仿宋_GB2312" w:hint="eastAsia"/>
          <w:sz w:val="28"/>
          <w:szCs w:val="28"/>
        </w:rPr>
        <w:t>、祥陇</w:t>
      </w:r>
      <w:r>
        <w:rPr>
          <w:rFonts w:ascii="仿宋_GB2312" w:eastAsia="仿宋_GB2312" w:hAnsi="仿宋_GB2312" w:cs="仿宋_GB2312" w:hint="eastAsia"/>
          <w:sz w:val="28"/>
          <w:szCs w:val="28"/>
        </w:rPr>
        <w:t>37-138</w:t>
      </w:r>
      <w:r>
        <w:rPr>
          <w:rFonts w:ascii="仿宋_GB2312" w:eastAsia="仿宋_GB2312" w:hAnsi="仿宋_GB2312" w:cs="仿宋_GB2312" w:hint="eastAsia"/>
          <w:sz w:val="28"/>
          <w:szCs w:val="28"/>
        </w:rPr>
        <w:t>、旋翠</w:t>
      </w:r>
      <w:r>
        <w:rPr>
          <w:rFonts w:ascii="仿宋_GB2312" w:eastAsia="仿宋_GB2312" w:hAnsi="仿宋_GB2312" w:cs="仿宋_GB2312" w:hint="eastAsia"/>
          <w:sz w:val="28"/>
          <w:szCs w:val="28"/>
        </w:rPr>
        <w:t>2020</w:t>
      </w:r>
      <w:r>
        <w:rPr>
          <w:rFonts w:ascii="仿宋_GB2312" w:eastAsia="仿宋_GB2312" w:hAnsi="仿宋_GB2312" w:cs="仿宋_GB2312" w:hint="eastAsia"/>
          <w:sz w:val="28"/>
          <w:szCs w:val="28"/>
        </w:rPr>
        <w:t>、绿美螺线、苏椒</w:t>
      </w:r>
      <w:r>
        <w:rPr>
          <w:rFonts w:ascii="仿宋_GB2312" w:eastAsia="仿宋_GB2312" w:hAnsi="仿宋_GB2312" w:cs="仿宋_GB2312" w:hint="eastAsia"/>
          <w:sz w:val="28"/>
          <w:szCs w:val="28"/>
        </w:rPr>
        <w:t>37-136</w:t>
      </w:r>
      <w:r>
        <w:rPr>
          <w:rFonts w:ascii="仿宋_GB2312" w:eastAsia="仿宋_GB2312" w:hAnsi="仿宋_GB2312" w:cs="仿宋_GB2312" w:hint="eastAsia"/>
          <w:sz w:val="28"/>
          <w:szCs w:val="28"/>
        </w:rPr>
        <w:t>等。</w:t>
      </w:r>
    </w:p>
    <w:p w:rsidR="00D13F86" w:rsidRDefault="00FC54D8">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2.</w:t>
      </w:r>
      <w:r>
        <w:rPr>
          <w:rFonts w:ascii="仿宋_GB2312" w:eastAsia="仿宋_GB2312" w:hAnsi="仿宋_GB2312" w:cs="仿宋_GB2312" w:hint="eastAsia"/>
          <w:b/>
          <w:bCs/>
          <w:sz w:val="28"/>
          <w:szCs w:val="28"/>
        </w:rPr>
        <w:t>土壤消毒试验。</w:t>
      </w:r>
      <w:r>
        <w:rPr>
          <w:rFonts w:ascii="仿宋_GB2312" w:eastAsia="仿宋_GB2312" w:hAnsi="仿宋_GB2312" w:cs="仿宋_GB2312" w:hint="eastAsia"/>
          <w:sz w:val="28"/>
          <w:szCs w:val="28"/>
        </w:rPr>
        <w:t>部分大田土壤特别是多年连续种植的蔬菜大棚土壤存在较严重的青枯病菌、根结线虫等土传病虫害，严重危害辣椒生长，可导致辣椒大量死颗减产甚至绝收。土传病虫害发生轻的可采用夏季高温闷棚方法，有较好</w:t>
      </w:r>
      <w:r>
        <w:rPr>
          <w:rFonts w:ascii="仿宋_GB2312" w:eastAsia="仿宋_GB2312" w:hAnsi="仿宋_GB2312" w:cs="仿宋_GB2312" w:hint="eastAsia"/>
          <w:sz w:val="28"/>
          <w:szCs w:val="28"/>
        </w:rPr>
        <w:t>的防治效果，发生重的需采用药剂进行</w:t>
      </w:r>
      <w:r>
        <w:rPr>
          <w:rFonts w:ascii="仿宋_GB2312" w:eastAsia="仿宋_GB2312" w:hAnsi="仿宋_GB2312" w:cs="仿宋_GB2312" w:hint="eastAsia"/>
          <w:sz w:val="28"/>
          <w:szCs w:val="28"/>
        </w:rPr>
        <w:lastRenderedPageBreak/>
        <w:t>土壤消毒，可达到良好的防治效果。宁都县每年开展土壤消毒试验示范，用石灰氮、威百亩消毒与生物菌剂闷棚进行对比，根部病害发生率病降低了</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个百分点，发病率仅为</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，有效降了棚内虫害基数，后期病虫害防治成本降低</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。其中石灰氮主要成分是氰氨化钙和</w:t>
      </w:r>
      <w:hyperlink r:id="rId8" w:tgtFrame="_blank" w:history="1">
        <w:r>
          <w:rPr>
            <w:rFonts w:ascii="仿宋_GB2312" w:eastAsia="仿宋_GB2312" w:hAnsi="仿宋_GB2312" w:cs="仿宋_GB2312" w:hint="eastAsia"/>
            <w:sz w:val="28"/>
            <w:szCs w:val="28"/>
          </w:rPr>
          <w:t>氧化钙</w:t>
        </w:r>
      </w:hyperlink>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CaCN</w:t>
      </w:r>
      <w:r>
        <w:rPr>
          <w:rFonts w:ascii="仿宋_GB2312" w:eastAsia="仿宋_GB2312" w:hAnsi="仿宋_GB2312" w:cs="仿宋_GB2312" w:hint="eastAsia"/>
          <w:sz w:val="28"/>
          <w:szCs w:val="28"/>
          <w:vertAlign w:val="subscript"/>
        </w:rPr>
        <w:t>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CaO</w:t>
      </w:r>
      <w:r>
        <w:rPr>
          <w:rFonts w:ascii="仿宋_GB2312" w:eastAsia="仿宋_GB2312" w:hAnsi="仿宋_GB2312" w:cs="仿宋_GB2312" w:hint="eastAsia"/>
          <w:sz w:val="28"/>
          <w:szCs w:val="28"/>
        </w:rPr>
        <w:t>），即是闷棚药剂又是碱性肥料，即中和土壤酸性</w:t>
      </w:r>
      <w:r>
        <w:rPr>
          <w:rFonts w:ascii="仿宋_GB2312" w:eastAsia="仿宋_GB2312" w:hAnsi="仿宋_GB2312" w:cs="仿宋_GB2312" w:hint="eastAsia"/>
          <w:sz w:val="28"/>
          <w:szCs w:val="28"/>
        </w:rPr>
        <w:t>，又可补充氮肥和钙肥，降低后期肥料资金投入</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。气温越高石灰氮闷棚效果越好，威百亩受温度影响较石灰氮小，夏季换茬可优先选择石灰氮闷棚，其他岔口可用威百亩闷棚。</w:t>
      </w:r>
    </w:p>
    <w:p w:rsidR="00D13F86" w:rsidRDefault="00FC54D8">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3.</w:t>
      </w:r>
      <w:r>
        <w:rPr>
          <w:rFonts w:ascii="仿宋_GB2312" w:eastAsia="仿宋_GB2312" w:hAnsi="仿宋_GB2312" w:cs="仿宋_GB2312" w:hint="eastAsia"/>
          <w:b/>
          <w:bCs/>
          <w:sz w:val="28"/>
          <w:szCs w:val="28"/>
        </w:rPr>
        <w:t>主推技术的试验示范。</w:t>
      </w:r>
    </w:p>
    <w:p w:rsidR="00D13F86" w:rsidRDefault="00FC54D8">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）蘸根定植。定植前穴盘集中打药和蘸根定植，有效降低了定植后</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天内的病虫害的发生几率，而集中打药和蘸根，又为农户节省了喷药和灌根的人工成本和用药成本，较定植后灌根、喷雾防治相比，节约人工成本和用药成本</w:t>
      </w:r>
      <w:r>
        <w:rPr>
          <w:rFonts w:ascii="仿宋_GB2312" w:eastAsia="仿宋_GB2312" w:hAnsi="仿宋_GB2312" w:cs="仿宋_GB2312" w:hint="eastAsia"/>
          <w:sz w:val="28"/>
          <w:szCs w:val="28"/>
        </w:rPr>
        <w:t>25</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亩。</w:t>
      </w:r>
      <w:r>
        <w:rPr>
          <w:rFonts w:ascii="仿宋_GB2312" w:eastAsia="仿宋_GB2312" w:hAnsi="仿宋_GB2312" w:cs="仿宋_GB2312" w:hint="eastAsia"/>
          <w:sz w:val="28"/>
          <w:szCs w:val="28"/>
        </w:rPr>
        <w:t xml:space="preserve">  </w:t>
      </w:r>
    </w:p>
    <w:p w:rsidR="00D13F86" w:rsidRDefault="00FC54D8">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1234</w:t>
      </w:r>
      <w:r>
        <w:rPr>
          <w:rFonts w:ascii="仿宋_GB2312" w:eastAsia="仿宋_GB2312" w:hAnsi="仿宋_GB2312" w:cs="仿宋_GB2312" w:hint="eastAsia"/>
          <w:sz w:val="28"/>
          <w:szCs w:val="28"/>
        </w:rPr>
        <w:t>”浇水法。适用于夏秋植辣椒定植后缓苗水管理，简单易学、好操作，即在辣椒定植后依次间隔</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天、</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天、</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天、</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天浇四次缓苗水，可满足辣椒缓苗期健壮生长对水分的合理需求。每个基地均安排技术示范，带动农户按照此方法执行，避免浇水过多或过少导致发生各种根部病害，提高定植成活率和植株长势。</w:t>
      </w:r>
    </w:p>
    <w:p w:rsidR="00D13F86" w:rsidRDefault="00FC54D8">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）水肥一体化。所有大棚均采用水肥一体化管理水分，有效节水</w:t>
      </w:r>
      <w:r>
        <w:rPr>
          <w:rFonts w:ascii="仿宋_GB2312" w:eastAsia="仿宋_GB2312" w:hAnsi="仿宋_GB2312" w:cs="仿宋_GB2312" w:hint="eastAsia"/>
          <w:sz w:val="28"/>
          <w:szCs w:val="28"/>
        </w:rPr>
        <w:t>40%</w:t>
      </w:r>
      <w:r>
        <w:rPr>
          <w:rFonts w:ascii="仿宋_GB2312" w:eastAsia="仿宋_GB2312" w:hAnsi="仿宋_GB2312" w:cs="仿宋_GB2312" w:hint="eastAsia"/>
          <w:sz w:val="28"/>
          <w:szCs w:val="28"/>
        </w:rPr>
        <w:t>、节肥</w:t>
      </w:r>
      <w:r>
        <w:rPr>
          <w:rFonts w:ascii="仿宋_GB2312" w:eastAsia="仿宋_GB2312" w:hAnsi="仿宋_GB2312" w:cs="仿宋_GB2312" w:hint="eastAsia"/>
          <w:sz w:val="28"/>
          <w:szCs w:val="28"/>
        </w:rPr>
        <w:t>30%</w:t>
      </w:r>
      <w:r>
        <w:rPr>
          <w:rFonts w:ascii="仿宋_GB2312" w:eastAsia="仿宋_GB2312" w:hAnsi="仿宋_GB2312" w:cs="仿宋_GB2312" w:hint="eastAsia"/>
          <w:sz w:val="28"/>
          <w:szCs w:val="28"/>
        </w:rPr>
        <w:t>、省工</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、增产</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同时改善作物生长环境、降低空气湿度、减少病虫害的发生等；通过滴施生物菌剂还可更为有效的调控土壤根系环境、提高土壤透气性、提高肥料利用率、降低根土传病害传播速度；同时还有效的防止了化肥、农药的深层渗漏，从而减少其对地下</w:t>
      </w:r>
      <w:r>
        <w:rPr>
          <w:rFonts w:ascii="仿宋_GB2312" w:eastAsia="仿宋_GB2312" w:hAnsi="仿宋_GB2312" w:cs="仿宋_GB2312" w:hint="eastAsia"/>
          <w:sz w:val="28"/>
          <w:szCs w:val="28"/>
        </w:rPr>
        <w:t>水和土壤的环境的污染。</w:t>
      </w:r>
    </w:p>
    <w:p w:rsidR="00D13F86" w:rsidRDefault="00FC54D8">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覆盖防草。采用地膜覆盖可以起到抑草灭草的作用，冬季可提高地温、抑制地表水分蒸发、降低棚内湿度，增加植株下部反射光，有效改善农作物生长发育条件，抗御不良环境，充分利用有限的光、热、水和养分，加速根系和地上部生长，延长有效生育期，促进辣椒的优质、高产。</w:t>
      </w:r>
    </w:p>
    <w:p w:rsidR="00D13F86" w:rsidRDefault="00FC54D8">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）吊枝管理。此项技术是辣椒的长茬栽培的必推技术。在长达</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个月的生长管理期内，植株生长高达</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米以上，需及时吊枝、盘杆、防倒伏，使植株各主杆向上生长、保持顶端优势，杆与杆之间拉开一定距离，保持通风透气，同时增加立体空间的光照面积，便于病害防治，同时提高辣椒的品质与产量。</w:t>
      </w:r>
    </w:p>
    <w:p w:rsidR="00D13F86" w:rsidRDefault="00FC54D8">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N-X</w:t>
      </w:r>
      <w:r>
        <w:rPr>
          <w:rFonts w:ascii="仿宋_GB2312" w:eastAsia="仿宋_GB2312" w:hAnsi="仿宋_GB2312" w:cs="仿宋_GB2312" w:hint="eastAsia"/>
          <w:sz w:val="28"/>
          <w:szCs w:val="28"/>
        </w:rPr>
        <w:t>”整枝法。辣椒长茬种植管理后期广泛推广应用。辣椒生产后期枝条繁密郁闭，病虫害防治难度加大，并较大影响座果和果实接收光照。为降低整枝人工成本，宜采用“</w:t>
      </w:r>
      <w:r>
        <w:rPr>
          <w:rFonts w:ascii="仿宋_GB2312" w:eastAsia="仿宋_GB2312" w:hAnsi="仿宋_GB2312" w:cs="仿宋_GB2312" w:hint="eastAsia"/>
          <w:sz w:val="28"/>
          <w:szCs w:val="28"/>
        </w:rPr>
        <w:t>N-X</w:t>
      </w:r>
      <w:r>
        <w:rPr>
          <w:rFonts w:ascii="仿宋_GB2312" w:eastAsia="仿宋_GB2312" w:hAnsi="仿宋_GB2312" w:cs="仿宋_GB2312" w:hint="eastAsia"/>
          <w:sz w:val="28"/>
          <w:szCs w:val="28"/>
        </w:rPr>
        <w:t>”整枝法：即在原有枝干基础上，视郁闭程度，整根去除枝条弱、坐果少的主杆</w:t>
      </w:r>
      <w:r>
        <w:rPr>
          <w:rFonts w:ascii="仿宋_GB2312" w:eastAsia="仿宋_GB2312" w:hAnsi="仿宋_GB2312" w:cs="仿宋_GB2312" w:hint="eastAsia"/>
          <w:sz w:val="28"/>
          <w:szCs w:val="28"/>
        </w:rPr>
        <w:t>1-2</w:t>
      </w:r>
      <w:r>
        <w:rPr>
          <w:rFonts w:ascii="仿宋_GB2312" w:eastAsia="仿宋_GB2312" w:hAnsi="仿宋_GB2312" w:cs="仿宋_GB2312" w:hint="eastAsia"/>
          <w:sz w:val="28"/>
          <w:szCs w:val="28"/>
        </w:rPr>
        <w:t>条。从而大大节约用工成本，降低病虫害防治成本，提高辣椒商品性，提高农户收益。</w:t>
      </w:r>
    </w:p>
    <w:p w:rsidR="00D13F86" w:rsidRDefault="00FC54D8">
      <w:pPr>
        <w:pStyle w:val="a3"/>
        <w:ind w:firstLine="562"/>
        <w:rPr>
          <w:rFonts w:ascii="Times New Roman" w:eastAsia="楷体_GB2312" w:hAnsi="Times New Roman"/>
          <w:color w:val="000000" w:themeColor="text1"/>
          <w:sz w:val="28"/>
          <w:szCs w:val="28"/>
        </w:rPr>
      </w:pPr>
      <w:r>
        <w:rPr>
          <w:rFonts w:ascii="仿宋_GB2312" w:eastAsia="仿宋_GB2312" w:hAnsi="仿宋_GB2312" w:cs="仿宋_GB2312" w:hint="eastAsia"/>
          <w:b/>
          <w:bCs/>
          <w:sz w:val="28"/>
          <w:szCs w:val="28"/>
        </w:rPr>
        <w:t>4.</w:t>
      </w:r>
      <w:r>
        <w:rPr>
          <w:rFonts w:ascii="仿宋_GB2312" w:eastAsia="仿宋_GB2312" w:hAnsi="仿宋_GB2312" w:cs="仿宋_GB2312" w:hint="eastAsia"/>
          <w:b/>
          <w:bCs/>
          <w:sz w:val="28"/>
          <w:szCs w:val="28"/>
        </w:rPr>
        <w:t>增产增收。</w:t>
      </w:r>
      <w:r>
        <w:rPr>
          <w:rFonts w:ascii="仿宋_GB2312" w:eastAsia="仿宋_GB2312" w:hAnsi="仿宋_GB2312" w:cs="仿宋_GB2312" w:hint="eastAsia"/>
          <w:sz w:val="28"/>
          <w:szCs w:val="28"/>
        </w:rPr>
        <w:t>辣椒越冬长茬设施栽培持续在田生产管理时间达</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个月</w:t>
      </w:r>
      <w:r>
        <w:rPr>
          <w:rFonts w:ascii="仿宋_GB2312" w:eastAsia="仿宋_GB2312" w:hAnsi="仿宋_GB2312" w:cs="仿宋_GB2312" w:hint="eastAsia"/>
          <w:sz w:val="28"/>
          <w:szCs w:val="28"/>
        </w:rPr>
        <w:t>，经组织省有关专家进行测产考察，结果平均产量</w:t>
      </w:r>
      <w:r>
        <w:rPr>
          <w:rFonts w:ascii="仿宋_GB2312" w:eastAsia="仿宋_GB2312" w:hAnsi="仿宋_GB2312" w:cs="仿宋_GB2312" w:hint="eastAsia"/>
          <w:sz w:val="28"/>
          <w:szCs w:val="28"/>
        </w:rPr>
        <w:t>5580.1</w:t>
      </w:r>
      <w:r>
        <w:rPr>
          <w:rFonts w:ascii="仿宋_GB2312" w:eastAsia="仿宋_GB2312" w:hAnsi="仿宋_GB2312" w:cs="仿宋_GB2312" w:hint="eastAsia"/>
          <w:sz w:val="28"/>
          <w:szCs w:val="28"/>
        </w:rPr>
        <w:t>公斤</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亩，高的达</w:t>
      </w:r>
      <w:r>
        <w:rPr>
          <w:rFonts w:ascii="仿宋_GB2312" w:eastAsia="仿宋_GB2312" w:hAnsi="仿宋_GB2312" w:cs="仿宋_GB2312" w:hint="eastAsia"/>
          <w:sz w:val="28"/>
          <w:szCs w:val="28"/>
        </w:rPr>
        <w:t>6406.3</w:t>
      </w:r>
      <w:r>
        <w:rPr>
          <w:rFonts w:ascii="仿宋_GB2312" w:eastAsia="仿宋_GB2312" w:hAnsi="仿宋_GB2312" w:cs="仿宋_GB2312" w:hint="eastAsia"/>
          <w:sz w:val="28"/>
          <w:szCs w:val="28"/>
        </w:rPr>
        <w:t>公斤</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亩；产值</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万元</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亩左右，纯利</w:t>
      </w:r>
      <w:r>
        <w:rPr>
          <w:rFonts w:ascii="仿宋_GB2312" w:eastAsia="仿宋_GB2312" w:hAnsi="仿宋_GB2312" w:cs="仿宋_GB2312" w:hint="eastAsia"/>
          <w:sz w:val="28"/>
          <w:szCs w:val="28"/>
        </w:rPr>
        <w:t>润</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万元</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亩左右。一般每户农户可精细管理大棚</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亩左右，每户种植户年纯收入可达</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万元以上。</w:t>
      </w:r>
    </w:p>
    <w:p w:rsidR="00D13F86" w:rsidRDefault="00FC54D8">
      <w:pPr>
        <w:snapToGrid w:val="0"/>
        <w:spacing w:line="600" w:lineRule="exact"/>
        <w:ind w:firstLineChars="200" w:firstLine="643"/>
        <w:rPr>
          <w:rFonts w:ascii="Times New Roman" w:eastAsia="楷体_GB2312" w:hAnsi="Times New Roman"/>
          <w:b/>
          <w:color w:val="000000" w:themeColor="text1"/>
          <w:sz w:val="28"/>
          <w:szCs w:val="28"/>
        </w:rPr>
      </w:pPr>
      <w:r>
        <w:rPr>
          <w:rFonts w:ascii="Times New Roman" w:eastAsia="楷体" w:hAnsi="Times New Roman"/>
          <w:b/>
          <w:color w:val="000000" w:themeColor="text1"/>
          <w:sz w:val="32"/>
          <w:szCs w:val="32"/>
        </w:rPr>
        <w:t>（四）技术获奖情况</w:t>
      </w:r>
      <w:r>
        <w:rPr>
          <w:rFonts w:ascii="Times New Roman" w:eastAsia="楷体_GB2312" w:hAnsi="Times New Roman"/>
          <w:b/>
          <w:color w:val="000000" w:themeColor="text1"/>
          <w:sz w:val="28"/>
          <w:szCs w:val="28"/>
        </w:rPr>
        <w:t>（该技术为核心的科技成果获得科技奖励等情况）</w:t>
      </w:r>
    </w:p>
    <w:p w:rsidR="00D13F86" w:rsidRDefault="00FC54D8">
      <w:pPr>
        <w:snapToGrid w:val="0"/>
        <w:spacing w:line="600" w:lineRule="exact"/>
        <w:ind w:firstLineChars="200" w:firstLine="560"/>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无</w:t>
      </w:r>
      <w:r>
        <w:rPr>
          <w:rFonts w:ascii="仿宋_GB2312" w:eastAsia="仿宋_GB2312" w:hAnsi="Times New Roman" w:hint="eastAsia"/>
          <w:color w:val="000000" w:themeColor="text1"/>
          <w:sz w:val="28"/>
          <w:szCs w:val="28"/>
        </w:rPr>
        <w:t>。</w:t>
      </w:r>
    </w:p>
    <w:p w:rsidR="00D13F86" w:rsidRDefault="00FC54D8">
      <w:pPr>
        <w:snapToGrid w:val="0"/>
        <w:spacing w:line="600" w:lineRule="exact"/>
        <w:ind w:firstLineChars="200" w:firstLine="640"/>
        <w:rPr>
          <w:rFonts w:ascii="Times New Roman" w:eastAsia="黑体" w:hAnsi="Times New Roman"/>
          <w:color w:val="000000" w:themeColor="text1"/>
          <w:sz w:val="28"/>
          <w:szCs w:val="28"/>
        </w:rPr>
      </w:pPr>
      <w:r>
        <w:rPr>
          <w:rFonts w:ascii="Times New Roman" w:eastAsia="黑体" w:hAnsi="Times New Roman"/>
          <w:color w:val="000000" w:themeColor="text1"/>
          <w:sz w:val="32"/>
          <w:szCs w:val="32"/>
        </w:rPr>
        <w:lastRenderedPageBreak/>
        <w:t>二、技术要点</w:t>
      </w:r>
      <w:r>
        <w:rPr>
          <w:rFonts w:ascii="Times New Roman" w:eastAsia="黑体" w:hAnsi="Times New Roman"/>
          <w:color w:val="000000" w:themeColor="text1"/>
          <w:sz w:val="28"/>
          <w:szCs w:val="28"/>
        </w:rPr>
        <w:t>（核心技术及其配套技术主要内容）</w:t>
      </w:r>
    </w:p>
    <w:p w:rsidR="00D13F86" w:rsidRDefault="00FC54D8">
      <w:pPr>
        <w:pStyle w:val="a3"/>
        <w:ind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1.</w:t>
      </w:r>
      <w:r>
        <w:rPr>
          <w:rFonts w:ascii="仿宋_GB2312" w:eastAsia="仿宋_GB2312" w:hAnsi="仿宋_GB2312" w:cs="仿宋_GB2312" w:hint="eastAsia"/>
          <w:b/>
          <w:bCs/>
          <w:sz w:val="28"/>
          <w:szCs w:val="28"/>
        </w:rPr>
        <w:t>土壤改良。</w:t>
      </w:r>
      <w:r>
        <w:rPr>
          <w:rFonts w:ascii="仿宋_GB2312" w:eastAsia="仿宋_GB2312" w:hAnsi="仿宋_GB2312" w:cs="仿宋_GB2312" w:hint="eastAsia"/>
          <w:sz w:val="28"/>
          <w:szCs w:val="28"/>
        </w:rPr>
        <w:t>根据土壤粘性程度，每</w:t>
      </w:r>
      <w:r>
        <w:rPr>
          <w:rFonts w:ascii="仿宋_GB2312" w:eastAsia="仿宋_GB2312" w:hAnsi="仿宋_GB2312" w:cs="仿宋_GB2312" w:hint="eastAsia"/>
          <w:sz w:val="28"/>
          <w:szCs w:val="28"/>
        </w:rPr>
        <w:t>667</w:t>
      </w:r>
      <w:r>
        <w:rPr>
          <w:rFonts w:ascii="仿宋_GB2312" w:eastAsia="仿宋_GB2312" w:hAnsi="仿宋_GB2312" w:cs="仿宋_GB2312" w:hint="eastAsia"/>
          <w:sz w:val="28"/>
          <w:szCs w:val="28"/>
        </w:rPr>
        <w:t>平方米，施入腐熟有机肥</w:t>
      </w:r>
      <w:r>
        <w:rPr>
          <w:rFonts w:ascii="仿宋_GB2312" w:eastAsia="仿宋_GB2312" w:hAnsi="仿宋_GB2312" w:cs="仿宋_GB2312" w:hint="eastAsia"/>
          <w:sz w:val="28"/>
          <w:szCs w:val="28"/>
        </w:rPr>
        <w:t>3-4</w:t>
      </w:r>
      <w:r>
        <w:rPr>
          <w:rFonts w:ascii="仿宋_GB2312" w:eastAsia="仿宋_GB2312" w:hAnsi="仿宋_GB2312" w:cs="仿宋_GB2312" w:hint="eastAsia"/>
          <w:sz w:val="28"/>
          <w:szCs w:val="28"/>
        </w:rPr>
        <w:t>吨，施入稻壳</w:t>
      </w:r>
      <w:r>
        <w:rPr>
          <w:rFonts w:ascii="仿宋_GB2312" w:eastAsia="仿宋_GB2312" w:hAnsi="仿宋_GB2312" w:cs="仿宋_GB2312" w:hint="eastAsia"/>
          <w:sz w:val="28"/>
          <w:szCs w:val="28"/>
        </w:rPr>
        <w:t>1-2</w:t>
      </w:r>
      <w:r>
        <w:rPr>
          <w:rFonts w:ascii="仿宋_GB2312" w:eastAsia="仿宋_GB2312" w:hAnsi="仿宋_GB2312" w:cs="仿宋_GB2312" w:hint="eastAsia"/>
          <w:sz w:val="28"/>
          <w:szCs w:val="28"/>
        </w:rPr>
        <w:t>吨，（粘性重，附属有机肥</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吨，稻壳</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吨，粘性轻施腐熟有机肥</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吨，稻壳</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吨，沙壤土仅施腐熟有机肥</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吨即可），生石灰</w:t>
      </w:r>
      <w:r>
        <w:rPr>
          <w:rFonts w:ascii="仿宋_GB2312" w:eastAsia="仿宋_GB2312" w:hAnsi="仿宋_GB2312" w:cs="仿宋_GB2312" w:hint="eastAsia"/>
          <w:sz w:val="28"/>
          <w:szCs w:val="28"/>
        </w:rPr>
        <w:t>50-100</w:t>
      </w:r>
      <w:r>
        <w:rPr>
          <w:rFonts w:ascii="仿宋_GB2312" w:eastAsia="仿宋_GB2312" w:hAnsi="仿宋_GB2312" w:cs="仿宋_GB2312" w:hint="eastAsia"/>
          <w:sz w:val="28"/>
          <w:szCs w:val="28"/>
        </w:rPr>
        <w:t>公斤，钙镁磷肥</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公斤。</w:t>
      </w:r>
    </w:p>
    <w:p w:rsidR="00D13F86" w:rsidRDefault="00FC54D8">
      <w:pPr>
        <w:pStyle w:val="a3"/>
        <w:ind w:firstLine="562"/>
        <w:rPr>
          <w:rFonts w:ascii="仿宋_GB2312" w:eastAsia="仿宋_GB2312" w:hAnsi="仿宋_GB2312" w:cs="仿宋_GB2312"/>
          <w:sz w:val="28"/>
          <w:szCs w:val="28"/>
        </w:rPr>
      </w:pPr>
      <w:r>
        <w:rPr>
          <w:rFonts w:ascii="仿宋_GB2312" w:eastAsia="仿宋_GB2312" w:hAnsi="仿宋_GB2312" w:cs="仿宋_GB2312" w:hint="eastAsia"/>
          <w:b/>
          <w:bCs/>
          <w:noProof/>
          <w:sz w:val="28"/>
          <w:szCs w:val="28"/>
        </w:rPr>
        <w:drawing>
          <wp:anchor distT="0" distB="0" distL="114300" distR="114300" simplePos="0" relativeHeight="251664384" behindDoc="0" locked="0" layoutInCell="1" allowOverlap="1">
            <wp:simplePos x="0" y="0"/>
            <wp:positionH relativeFrom="margin">
              <wp:posOffset>605155</wp:posOffset>
            </wp:positionH>
            <wp:positionV relativeFrom="paragraph">
              <wp:posOffset>80645</wp:posOffset>
            </wp:positionV>
            <wp:extent cx="4229100" cy="3171825"/>
            <wp:effectExtent l="0" t="0" r="0" b="952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29100" cy="3171825"/>
                    </a:xfrm>
                    <a:prstGeom prst="rect">
                      <a:avLst/>
                    </a:prstGeom>
                    <a:noFill/>
                    <a:ln>
                      <a:noFill/>
                    </a:ln>
                  </pic:spPr>
                </pic:pic>
              </a:graphicData>
            </a:graphic>
          </wp:anchor>
        </w:drawing>
      </w:r>
      <w:r>
        <w:rPr>
          <w:rFonts w:ascii="仿宋_GB2312" w:eastAsia="仿宋_GB2312" w:hAnsi="仿宋_GB2312" w:cs="仿宋_GB2312" w:hint="eastAsia"/>
          <w:b/>
          <w:bCs/>
          <w:sz w:val="28"/>
          <w:szCs w:val="28"/>
        </w:rPr>
        <w:t>2</w:t>
      </w:r>
      <w:r>
        <w:rPr>
          <w:rFonts w:ascii="仿宋_GB2312" w:eastAsia="仿宋_GB2312" w:hAnsi="仿宋_GB2312" w:cs="仿宋_GB2312" w:hint="eastAsia"/>
          <w:b/>
          <w:bCs/>
          <w:sz w:val="28"/>
          <w:szCs w:val="28"/>
        </w:rPr>
        <w:t>、土壤消毒。</w:t>
      </w:r>
      <w:r>
        <w:rPr>
          <w:rFonts w:ascii="仿宋_GB2312" w:eastAsia="仿宋_GB2312" w:hAnsi="仿宋_GB2312" w:cs="仿宋_GB2312" w:hint="eastAsia"/>
          <w:sz w:val="28"/>
          <w:szCs w:val="28"/>
        </w:rPr>
        <w:t>主推石灰氮消毒和威百亩消毒。</w:t>
      </w:r>
    </w:p>
    <w:p w:rsidR="00D13F86" w:rsidRDefault="00FC54D8">
      <w:pPr>
        <w:pStyle w:val="a3"/>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石灰氮消毒：清棚检修，撒施底肥和石灰氮，旋耕起垄、铺滴灌带、铺地膜密封地面，关各风口，滴大水闷棚。历时</w:t>
      </w:r>
      <w:r>
        <w:rPr>
          <w:rFonts w:ascii="仿宋_GB2312" w:eastAsia="仿宋_GB2312" w:hAnsi="仿宋_GB2312" w:cs="仿宋_GB2312" w:hint="eastAsia"/>
          <w:sz w:val="28"/>
          <w:szCs w:val="28"/>
        </w:rPr>
        <w:t>20-30</w:t>
      </w:r>
      <w:r>
        <w:rPr>
          <w:rFonts w:ascii="仿宋_GB2312" w:eastAsia="仿宋_GB2312" w:hAnsi="仿宋_GB2312" w:cs="仿宋_GB2312" w:hint="eastAsia"/>
          <w:sz w:val="28"/>
          <w:szCs w:val="28"/>
        </w:rPr>
        <w:t>天。</w:t>
      </w:r>
    </w:p>
    <w:p w:rsidR="00D13F86" w:rsidRDefault="00FC54D8">
      <w:pPr>
        <w:pStyle w:val="a3"/>
        <w:ind w:firstLine="560"/>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60288" behindDoc="0" locked="0" layoutInCell="1" allowOverlap="1">
            <wp:simplePos x="0" y="0"/>
            <wp:positionH relativeFrom="margin">
              <wp:posOffset>157480</wp:posOffset>
            </wp:positionH>
            <wp:positionV relativeFrom="paragraph">
              <wp:posOffset>890270</wp:posOffset>
            </wp:positionV>
            <wp:extent cx="5028565" cy="2260600"/>
            <wp:effectExtent l="0" t="0" r="635" b="635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28565" cy="2260600"/>
                    </a:xfrm>
                    <a:prstGeom prst="rect">
                      <a:avLst/>
                    </a:prstGeom>
                    <a:noFill/>
                    <a:ln>
                      <a:noFill/>
                    </a:ln>
                  </pic:spPr>
                </pic:pic>
              </a:graphicData>
            </a:graphic>
          </wp:anchor>
        </w:drawing>
      </w:r>
      <w:r>
        <w:rPr>
          <w:rFonts w:ascii="仿宋_GB2312" w:eastAsia="仿宋_GB2312" w:hAnsi="仿宋_GB2312" w:cs="仿宋_GB2312" w:hint="eastAsia"/>
          <w:sz w:val="28"/>
          <w:szCs w:val="28"/>
        </w:rPr>
        <w:t>威百亩消毒：清棚检修，撒施底肥，旋耕起垄、铺滴灌带、铺地膜密封地面，关闭各风口，滴威百亩进行闷棚。历时</w:t>
      </w:r>
      <w:r>
        <w:rPr>
          <w:rFonts w:ascii="仿宋_GB2312" w:eastAsia="仿宋_GB2312" w:hAnsi="仿宋_GB2312" w:cs="仿宋_GB2312" w:hint="eastAsia"/>
          <w:sz w:val="28"/>
          <w:szCs w:val="28"/>
        </w:rPr>
        <w:t>20-30</w:t>
      </w:r>
      <w:r>
        <w:rPr>
          <w:rFonts w:ascii="仿宋_GB2312" w:eastAsia="仿宋_GB2312" w:hAnsi="仿宋_GB2312" w:cs="仿宋_GB2312" w:hint="eastAsia"/>
          <w:sz w:val="28"/>
          <w:szCs w:val="28"/>
        </w:rPr>
        <w:t>天。</w:t>
      </w:r>
    </w:p>
    <w:p w:rsidR="00D13F86" w:rsidRDefault="00FC54D8">
      <w:pPr>
        <w:pStyle w:val="a3"/>
        <w:ind w:firstLine="560"/>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anchor distT="0" distB="0" distL="114300" distR="114300" simplePos="0" relativeHeight="251661312" behindDoc="0" locked="0" layoutInCell="1" allowOverlap="1">
            <wp:simplePos x="0" y="0"/>
            <wp:positionH relativeFrom="margin">
              <wp:posOffset>178435</wp:posOffset>
            </wp:positionH>
            <wp:positionV relativeFrom="paragraph">
              <wp:posOffset>61595</wp:posOffset>
            </wp:positionV>
            <wp:extent cx="4967605" cy="2565400"/>
            <wp:effectExtent l="0" t="0" r="4445" b="635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67605" cy="2565400"/>
                    </a:xfrm>
                    <a:prstGeom prst="rect">
                      <a:avLst/>
                    </a:prstGeom>
                    <a:noFill/>
                    <a:ln>
                      <a:noFill/>
                    </a:ln>
                  </pic:spPr>
                </pic:pic>
              </a:graphicData>
            </a:graphic>
          </wp:anchor>
        </w:drawing>
      </w:r>
      <w:r>
        <w:rPr>
          <w:rFonts w:ascii="仿宋_GB2312" w:eastAsia="仿宋_GB2312" w:hAnsi="仿宋_GB2312" w:cs="仿宋_GB2312" w:hint="eastAsia"/>
          <w:b/>
          <w:bCs/>
          <w:sz w:val="28"/>
          <w:szCs w:val="28"/>
        </w:rPr>
        <w:t>3.</w:t>
      </w:r>
      <w:r>
        <w:rPr>
          <w:rFonts w:ascii="仿宋_GB2312" w:eastAsia="仿宋_GB2312" w:hAnsi="仿宋_GB2312" w:cs="仿宋_GB2312" w:hint="eastAsia"/>
          <w:b/>
          <w:bCs/>
          <w:sz w:val="28"/>
          <w:szCs w:val="28"/>
        </w:rPr>
        <w:t>蘸根定植。</w:t>
      </w:r>
      <w:r>
        <w:rPr>
          <w:rFonts w:ascii="仿宋_GB2312" w:eastAsia="仿宋_GB2312" w:hAnsi="仿宋_GB2312" w:cs="仿宋_GB2312" w:hint="eastAsia"/>
          <w:sz w:val="28"/>
          <w:szCs w:val="28"/>
        </w:rPr>
        <w:t>72.2%</w:t>
      </w:r>
      <w:r>
        <w:rPr>
          <w:rFonts w:ascii="仿宋_GB2312" w:eastAsia="仿宋_GB2312" w:hAnsi="仿宋_GB2312" w:cs="仿宋_GB2312" w:hint="eastAsia"/>
          <w:sz w:val="28"/>
          <w:szCs w:val="28"/>
        </w:rPr>
        <w:t>霜霉威</w:t>
      </w:r>
      <w:r>
        <w:rPr>
          <w:rFonts w:ascii="仿宋_GB2312" w:eastAsia="仿宋_GB2312" w:hAnsi="仿宋_GB2312" w:cs="仿宋_GB2312" w:hint="eastAsia"/>
          <w:sz w:val="28"/>
          <w:szCs w:val="28"/>
        </w:rPr>
        <w:t>20ml</w:t>
      </w:r>
      <w:r>
        <w:rPr>
          <w:rFonts w:ascii="仿宋_GB2312" w:eastAsia="仿宋_GB2312" w:hAnsi="仿宋_GB2312" w:cs="仿宋_GB2312" w:hint="eastAsia"/>
          <w:sz w:val="28"/>
          <w:szCs w:val="28"/>
        </w:rPr>
        <w:t>或</w:t>
      </w:r>
      <w:r>
        <w:rPr>
          <w:rFonts w:ascii="仿宋_GB2312" w:eastAsia="仿宋_GB2312" w:hAnsi="仿宋_GB2312" w:cs="仿宋_GB2312" w:hint="eastAsia"/>
          <w:sz w:val="28"/>
          <w:szCs w:val="28"/>
        </w:rPr>
        <w:t>98%</w:t>
      </w:r>
      <w:r>
        <w:rPr>
          <w:rFonts w:ascii="仿宋_GB2312" w:eastAsia="仿宋_GB2312" w:hAnsi="仿宋_GB2312" w:cs="仿宋_GB2312" w:hint="eastAsia"/>
          <w:sz w:val="28"/>
          <w:szCs w:val="28"/>
        </w:rPr>
        <w:t>恶霉灵</w:t>
      </w:r>
      <w:r>
        <w:rPr>
          <w:rFonts w:ascii="仿宋_GB2312" w:eastAsia="仿宋_GB2312" w:hAnsi="仿宋_GB2312" w:cs="仿宋_GB2312" w:hint="eastAsia"/>
          <w:sz w:val="28"/>
          <w:szCs w:val="28"/>
        </w:rPr>
        <w:t>5g+0.3%</w:t>
      </w:r>
      <w:r>
        <w:rPr>
          <w:rFonts w:ascii="仿宋_GB2312" w:eastAsia="仿宋_GB2312" w:hAnsi="仿宋_GB2312" w:cs="仿宋_GB2312" w:hint="eastAsia"/>
          <w:sz w:val="28"/>
          <w:szCs w:val="28"/>
        </w:rPr>
        <w:t>四霉素</w:t>
      </w:r>
      <w:r>
        <w:rPr>
          <w:rFonts w:ascii="仿宋_GB2312" w:eastAsia="仿宋_GB2312" w:hAnsi="仿宋_GB2312" w:cs="仿宋_GB2312" w:hint="eastAsia"/>
          <w:sz w:val="28"/>
          <w:szCs w:val="28"/>
        </w:rPr>
        <w:t>15g+2%</w:t>
      </w:r>
      <w:r>
        <w:rPr>
          <w:rFonts w:ascii="仿宋_GB2312" w:eastAsia="仿宋_GB2312" w:hAnsi="仿宋_GB2312" w:cs="仿宋_GB2312" w:hint="eastAsia"/>
          <w:sz w:val="28"/>
          <w:szCs w:val="28"/>
        </w:rPr>
        <w:t>吲丁·萘乙酸</w:t>
      </w:r>
      <w:r>
        <w:rPr>
          <w:rFonts w:ascii="仿宋_GB2312" w:eastAsia="仿宋_GB2312" w:hAnsi="仿宋_GB2312" w:cs="仿宋_GB2312" w:hint="eastAsia"/>
          <w:sz w:val="28"/>
          <w:szCs w:val="28"/>
        </w:rPr>
        <w:t>20g+</w:t>
      </w:r>
      <w:r>
        <w:rPr>
          <w:rFonts w:ascii="仿宋_GB2312" w:eastAsia="仿宋_GB2312" w:hAnsi="仿宋_GB2312" w:cs="仿宋_GB2312" w:hint="eastAsia"/>
          <w:sz w:val="28"/>
          <w:szCs w:val="28"/>
        </w:rPr>
        <w:t>水</w:t>
      </w:r>
      <w:r>
        <w:rPr>
          <w:rFonts w:ascii="仿宋_GB2312" w:eastAsia="仿宋_GB2312" w:hAnsi="仿宋_GB2312" w:cs="仿宋_GB2312" w:hint="eastAsia"/>
          <w:sz w:val="28"/>
          <w:szCs w:val="28"/>
        </w:rPr>
        <w:t>15kg</w:t>
      </w:r>
      <w:r>
        <w:rPr>
          <w:rFonts w:ascii="仿宋_GB2312" w:eastAsia="仿宋_GB2312" w:hAnsi="仿宋_GB2312" w:cs="仿宋_GB2312" w:hint="eastAsia"/>
          <w:sz w:val="28"/>
          <w:szCs w:val="28"/>
        </w:rPr>
        <w:t>。</w:t>
      </w:r>
    </w:p>
    <w:p w:rsidR="00D13F86" w:rsidRDefault="00FC54D8">
      <w:pPr>
        <w:pStyle w:val="a3"/>
        <w:ind w:firstLine="562"/>
        <w:rPr>
          <w:rFonts w:ascii="仿宋_GB2312" w:eastAsia="仿宋_GB2312" w:hAnsi="仿宋_GB2312" w:cs="仿宋_GB2312"/>
          <w:sz w:val="28"/>
          <w:szCs w:val="28"/>
        </w:rPr>
      </w:pPr>
      <w:r>
        <w:rPr>
          <w:rFonts w:ascii="仿宋_GB2312" w:eastAsia="仿宋_GB2312" w:hAnsi="仿宋_GB2312" w:cs="仿宋_GB2312" w:hint="eastAsia"/>
          <w:b/>
          <w:bCs/>
          <w:noProof/>
          <w:sz w:val="28"/>
          <w:szCs w:val="28"/>
        </w:rPr>
        <w:drawing>
          <wp:anchor distT="0" distB="0" distL="114300" distR="114300" simplePos="0" relativeHeight="251662336" behindDoc="0" locked="0" layoutInCell="1" allowOverlap="1">
            <wp:simplePos x="0" y="0"/>
            <wp:positionH relativeFrom="column">
              <wp:posOffset>49530</wp:posOffset>
            </wp:positionH>
            <wp:positionV relativeFrom="paragraph">
              <wp:posOffset>168910</wp:posOffset>
            </wp:positionV>
            <wp:extent cx="5044440" cy="2634615"/>
            <wp:effectExtent l="0" t="0" r="3810" b="1333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44440" cy="2634615"/>
                    </a:xfrm>
                    <a:prstGeom prst="rect">
                      <a:avLst/>
                    </a:prstGeom>
                    <a:noFill/>
                    <a:ln>
                      <a:noFill/>
                    </a:ln>
                  </pic:spPr>
                </pic:pic>
              </a:graphicData>
            </a:graphic>
          </wp:anchor>
        </w:drawing>
      </w:r>
      <w:r>
        <w:rPr>
          <w:rFonts w:ascii="仿宋_GB2312" w:eastAsia="仿宋_GB2312" w:hAnsi="仿宋_GB2312" w:cs="仿宋_GB2312" w:hint="eastAsia"/>
          <w:b/>
          <w:bCs/>
          <w:sz w:val="28"/>
          <w:szCs w:val="28"/>
        </w:rPr>
        <w:t>4.</w:t>
      </w:r>
      <w:r>
        <w:rPr>
          <w:rFonts w:ascii="仿宋_GB2312" w:eastAsia="仿宋_GB2312" w:hAnsi="仿宋_GB2312" w:cs="仿宋_GB2312" w:hint="eastAsia"/>
          <w:b/>
          <w:bCs/>
          <w:sz w:val="28"/>
          <w:szCs w:val="28"/>
        </w:rPr>
        <w:t>水肥一体化。</w:t>
      </w:r>
      <w:r>
        <w:rPr>
          <w:rFonts w:ascii="仿宋_GB2312" w:eastAsia="仿宋_GB2312" w:hAnsi="仿宋_GB2312" w:cs="仿宋_GB2312" w:hint="eastAsia"/>
          <w:sz w:val="28"/>
          <w:szCs w:val="28"/>
        </w:rPr>
        <w:t>借助文丘里施肥器压力系统，将可溶性固体或液体肥料，通过滴灌带滴灌，同时也可通过水肥一体化系统滴施菌剂，培优土壤，降低病害发生率，提高生产效率。</w:t>
      </w:r>
    </w:p>
    <w:p w:rsidR="00D13F86" w:rsidRDefault="00FC54D8">
      <w:pPr>
        <w:rPr>
          <w:sz w:val="28"/>
          <w:szCs w:val="28"/>
        </w:rPr>
      </w:pPr>
      <w:r>
        <w:rPr>
          <w:rFonts w:ascii="仿宋_GB2312" w:eastAsia="仿宋_GB2312" w:hAnsi="仿宋_GB2312" w:cs="仿宋_GB2312" w:hint="eastAsia"/>
          <w:noProof/>
          <w:sz w:val="28"/>
          <w:szCs w:val="28"/>
        </w:rPr>
        <w:lastRenderedPageBreak/>
        <w:drawing>
          <wp:anchor distT="0" distB="0" distL="114300" distR="114300" simplePos="0" relativeHeight="251659264" behindDoc="0" locked="0" layoutInCell="1" allowOverlap="1">
            <wp:simplePos x="0" y="0"/>
            <wp:positionH relativeFrom="margin">
              <wp:posOffset>483870</wp:posOffset>
            </wp:positionH>
            <wp:positionV relativeFrom="paragraph">
              <wp:posOffset>3286760</wp:posOffset>
            </wp:positionV>
            <wp:extent cx="3973195" cy="2980055"/>
            <wp:effectExtent l="0" t="0" r="4445" b="698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973195" cy="2980055"/>
                    </a:xfrm>
                    <a:prstGeom prst="rect">
                      <a:avLst/>
                    </a:prstGeom>
                    <a:noFill/>
                    <a:ln>
                      <a:noFill/>
                    </a:ln>
                  </pic:spPr>
                </pic:pic>
              </a:graphicData>
            </a:graphic>
          </wp:anchor>
        </w:drawing>
      </w:r>
      <w:r>
        <w:rPr>
          <w:rFonts w:ascii="仿宋_GB2312" w:eastAsia="仿宋_GB2312" w:hAnsi="仿宋_GB2312" w:cs="仿宋_GB2312" w:hint="eastAsia"/>
          <w:noProof/>
          <w:sz w:val="28"/>
          <w:szCs w:val="28"/>
        </w:rPr>
        <w:drawing>
          <wp:anchor distT="0" distB="0" distL="114300" distR="114300" simplePos="0" relativeHeight="251663360" behindDoc="0" locked="0" layoutInCell="1" allowOverlap="1">
            <wp:simplePos x="0" y="0"/>
            <wp:positionH relativeFrom="margin">
              <wp:posOffset>427355</wp:posOffset>
            </wp:positionH>
            <wp:positionV relativeFrom="paragraph">
              <wp:posOffset>88265</wp:posOffset>
            </wp:positionV>
            <wp:extent cx="3982085" cy="2987040"/>
            <wp:effectExtent l="0" t="0" r="18415" b="381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982085" cy="2987040"/>
                    </a:xfrm>
                    <a:prstGeom prst="rect">
                      <a:avLst/>
                    </a:prstGeom>
                    <a:noFill/>
                    <a:ln>
                      <a:noFill/>
                    </a:ln>
                  </pic:spPr>
                </pic:pic>
              </a:graphicData>
            </a:graphic>
          </wp:anchor>
        </w:drawing>
      </w:r>
    </w:p>
    <w:p w:rsidR="00D13F86" w:rsidRDefault="00FC54D8">
      <w:pPr>
        <w:pStyle w:val="a3"/>
        <w:ind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5.</w:t>
      </w:r>
      <w:r>
        <w:rPr>
          <w:rFonts w:ascii="仿宋_GB2312" w:eastAsia="仿宋_GB2312" w:hAnsi="仿宋_GB2312" w:cs="仿宋_GB2312" w:hint="eastAsia"/>
          <w:b/>
          <w:bCs/>
          <w:sz w:val="28"/>
          <w:szCs w:val="28"/>
        </w:rPr>
        <w:t>“</w:t>
      </w:r>
      <w:r>
        <w:rPr>
          <w:rFonts w:ascii="仿宋_GB2312" w:eastAsia="仿宋_GB2312" w:hAnsi="仿宋_GB2312" w:cs="仿宋_GB2312" w:hint="eastAsia"/>
          <w:b/>
          <w:bCs/>
          <w:sz w:val="28"/>
          <w:szCs w:val="28"/>
        </w:rPr>
        <w:t>1234</w:t>
      </w:r>
      <w:r>
        <w:rPr>
          <w:rFonts w:ascii="仿宋_GB2312" w:eastAsia="仿宋_GB2312" w:hAnsi="仿宋_GB2312" w:cs="仿宋_GB2312" w:hint="eastAsia"/>
          <w:b/>
          <w:bCs/>
          <w:sz w:val="28"/>
          <w:szCs w:val="28"/>
        </w:rPr>
        <w:t>”浇水法。</w:t>
      </w:r>
      <w:r>
        <w:rPr>
          <w:rFonts w:ascii="仿宋_GB2312" w:eastAsia="仿宋_GB2312" w:hAnsi="仿宋_GB2312" w:cs="仿宋_GB2312" w:hint="eastAsia"/>
          <w:sz w:val="28"/>
          <w:szCs w:val="28"/>
        </w:rPr>
        <w:t>定植当天浇足定苗水后，第一次浇水距上次间隔</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天，第二次浇水距第一次浇水间隔</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天，第三次浇水距第二次浇水间隔</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天，第四次浇水距底三次浇水间隔</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天的浇水方法，此方法适宜越冬茬辣椒定植初期的水分管理。</w:t>
      </w:r>
    </w:p>
    <w:p w:rsidR="00D13F86" w:rsidRDefault="00FC54D8">
      <w:pPr>
        <w:pStyle w:val="a3"/>
        <w:ind w:firstLine="562"/>
        <w:rPr>
          <w:rFonts w:ascii="仿宋_GB2312" w:eastAsia="仿宋_GB2312" w:hAnsi="仿宋_GB2312" w:cs="仿宋_GB2312"/>
          <w:sz w:val="28"/>
          <w:szCs w:val="28"/>
        </w:rPr>
      </w:pPr>
      <w:r>
        <w:rPr>
          <w:rFonts w:ascii="仿宋_GB2312" w:eastAsia="仿宋_GB2312" w:hAnsi="仿宋_GB2312" w:cs="仿宋_GB2312" w:hint="eastAsia"/>
          <w:b/>
          <w:bCs/>
          <w:noProof/>
          <w:sz w:val="28"/>
          <w:szCs w:val="28"/>
        </w:rPr>
        <w:lastRenderedPageBreak/>
        <w:drawing>
          <wp:anchor distT="0" distB="0" distL="114300" distR="114300" simplePos="0" relativeHeight="251665408" behindDoc="0" locked="0" layoutInCell="1" allowOverlap="1">
            <wp:simplePos x="0" y="0"/>
            <wp:positionH relativeFrom="column">
              <wp:posOffset>737235</wp:posOffset>
            </wp:positionH>
            <wp:positionV relativeFrom="paragraph">
              <wp:posOffset>38100</wp:posOffset>
            </wp:positionV>
            <wp:extent cx="3376295" cy="4504055"/>
            <wp:effectExtent l="0" t="0" r="6985" b="698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6295" cy="4504055"/>
                    </a:xfrm>
                    <a:prstGeom prst="rect">
                      <a:avLst/>
                    </a:prstGeom>
                    <a:noFill/>
                    <a:ln>
                      <a:noFill/>
                    </a:ln>
                  </pic:spPr>
                </pic:pic>
              </a:graphicData>
            </a:graphic>
          </wp:anchor>
        </w:drawing>
      </w:r>
      <w:r>
        <w:rPr>
          <w:rFonts w:ascii="仿宋_GB2312" w:eastAsia="仿宋_GB2312" w:hAnsi="仿宋_GB2312" w:cs="仿宋_GB2312" w:hint="eastAsia"/>
          <w:b/>
          <w:bCs/>
          <w:sz w:val="28"/>
          <w:szCs w:val="28"/>
        </w:rPr>
        <w:t>6.</w:t>
      </w:r>
      <w:r>
        <w:rPr>
          <w:rFonts w:ascii="仿宋_GB2312" w:eastAsia="仿宋_GB2312" w:hAnsi="仿宋_GB2312" w:cs="仿宋_GB2312" w:hint="eastAsia"/>
          <w:b/>
          <w:bCs/>
          <w:sz w:val="28"/>
          <w:szCs w:val="28"/>
        </w:rPr>
        <w:t>覆盖</w:t>
      </w:r>
      <w:r>
        <w:rPr>
          <w:rFonts w:ascii="仿宋_GB2312" w:eastAsia="仿宋_GB2312" w:hAnsi="仿宋_GB2312" w:cs="仿宋_GB2312" w:hint="eastAsia"/>
          <w:b/>
          <w:bCs/>
          <w:sz w:val="28"/>
          <w:szCs w:val="28"/>
        </w:rPr>
        <w:t>地膜。</w:t>
      </w:r>
      <w:r>
        <w:rPr>
          <w:rFonts w:ascii="仿宋_GB2312" w:eastAsia="仿宋_GB2312" w:hAnsi="仿宋_GB2312" w:cs="仿宋_GB2312" w:hint="eastAsia"/>
          <w:sz w:val="28"/>
          <w:szCs w:val="28"/>
        </w:rPr>
        <w:t>垄间铺设银黑双色地膜，地膜接口处位于垄面，用点燃的线香穿孔粘合。防治草害，降低虫害防治难度，同时在低温阴雨天对银色面对弱光有反射作用，可增加光照强度，提高棚内温度。</w:t>
      </w:r>
    </w:p>
    <w:p w:rsidR="00D13F86" w:rsidRDefault="00FC54D8">
      <w:pPr>
        <w:pStyle w:val="a3"/>
        <w:ind w:firstLine="562"/>
        <w:rPr>
          <w:rFonts w:ascii="仿宋_GB2312" w:eastAsia="仿宋_GB2312" w:hAnsi="仿宋_GB2312" w:cs="仿宋_GB2312"/>
          <w:sz w:val="28"/>
          <w:szCs w:val="28"/>
        </w:rPr>
      </w:pPr>
      <w:r>
        <w:rPr>
          <w:rFonts w:ascii="仿宋_GB2312" w:eastAsia="仿宋_GB2312" w:hAnsi="仿宋_GB2312" w:cs="仿宋_GB2312" w:hint="eastAsia"/>
          <w:b/>
          <w:bCs/>
          <w:noProof/>
          <w:sz w:val="28"/>
          <w:szCs w:val="28"/>
        </w:rPr>
        <w:lastRenderedPageBreak/>
        <w:drawing>
          <wp:anchor distT="0" distB="0" distL="114300" distR="114300" simplePos="0" relativeHeight="251666432" behindDoc="0" locked="0" layoutInCell="1" allowOverlap="1">
            <wp:simplePos x="0" y="0"/>
            <wp:positionH relativeFrom="column">
              <wp:posOffset>714375</wp:posOffset>
            </wp:positionH>
            <wp:positionV relativeFrom="paragraph">
              <wp:posOffset>118745</wp:posOffset>
            </wp:positionV>
            <wp:extent cx="3563620" cy="2673985"/>
            <wp:effectExtent l="0" t="0" r="17780" b="1206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63620" cy="2673985"/>
                    </a:xfrm>
                    <a:prstGeom prst="rect">
                      <a:avLst/>
                    </a:prstGeom>
                    <a:noFill/>
                    <a:ln>
                      <a:noFill/>
                    </a:ln>
                  </pic:spPr>
                </pic:pic>
              </a:graphicData>
            </a:graphic>
          </wp:anchor>
        </w:drawing>
      </w:r>
      <w:r>
        <w:rPr>
          <w:rFonts w:ascii="仿宋_GB2312" w:eastAsia="仿宋_GB2312" w:hAnsi="仿宋_GB2312" w:cs="仿宋_GB2312" w:hint="eastAsia"/>
          <w:b/>
          <w:bCs/>
          <w:sz w:val="28"/>
          <w:szCs w:val="28"/>
        </w:rPr>
        <w:t>7.</w:t>
      </w:r>
      <w:r>
        <w:rPr>
          <w:rFonts w:ascii="仿宋_GB2312" w:eastAsia="仿宋_GB2312" w:hAnsi="仿宋_GB2312" w:cs="仿宋_GB2312" w:hint="eastAsia"/>
          <w:b/>
          <w:bCs/>
          <w:sz w:val="28"/>
          <w:szCs w:val="28"/>
        </w:rPr>
        <w:t>越冬长茬栽培。</w:t>
      </w:r>
      <w:r>
        <w:rPr>
          <w:rFonts w:ascii="仿宋_GB2312" w:eastAsia="仿宋_GB2312" w:hAnsi="仿宋_GB2312" w:cs="仿宋_GB2312" w:hint="eastAsia"/>
          <w:sz w:val="28"/>
          <w:szCs w:val="28"/>
        </w:rPr>
        <w:t>从</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月底</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月初育苗，</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月底</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月初定植，持续生产管理至次年</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月份，管理周期达</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个月以上的辣椒设施栽培模式。此种模式贯穿了了三个重要的生产茬口，秋延后、越冬茬、早春茬，三个高价窗口期尽收其下，长茬栽培大大降低了价格波动带来的风险，经济效益十分显著。</w:t>
      </w:r>
    </w:p>
    <w:p w:rsidR="00D13F86" w:rsidRDefault="00FC54D8">
      <w:pPr>
        <w:pStyle w:val="a3"/>
        <w:ind w:firstLine="562"/>
        <w:rPr>
          <w:rFonts w:ascii="仿宋_GB2312" w:eastAsia="仿宋_GB2312" w:hAnsi="仿宋_GB2312" w:cs="仿宋_GB2312"/>
          <w:sz w:val="28"/>
          <w:szCs w:val="28"/>
        </w:rPr>
      </w:pPr>
      <w:r>
        <w:rPr>
          <w:rFonts w:ascii="仿宋_GB2312" w:eastAsia="仿宋_GB2312" w:hAnsi="仿宋_GB2312" w:cs="仿宋_GB2312" w:hint="eastAsia"/>
          <w:b/>
          <w:bCs/>
          <w:noProof/>
          <w:sz w:val="28"/>
          <w:szCs w:val="28"/>
        </w:rPr>
        <w:lastRenderedPageBreak/>
        <w:drawing>
          <wp:anchor distT="0" distB="0" distL="114300" distR="114300" simplePos="0" relativeHeight="251667456" behindDoc="0" locked="0" layoutInCell="1" allowOverlap="1">
            <wp:simplePos x="0" y="0"/>
            <wp:positionH relativeFrom="margin">
              <wp:posOffset>736600</wp:posOffset>
            </wp:positionH>
            <wp:positionV relativeFrom="paragraph">
              <wp:posOffset>45720</wp:posOffset>
            </wp:positionV>
            <wp:extent cx="3631565" cy="4838700"/>
            <wp:effectExtent l="0" t="0" r="10795" b="762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31565" cy="4838700"/>
                    </a:xfrm>
                    <a:prstGeom prst="rect">
                      <a:avLst/>
                    </a:prstGeom>
                    <a:noFill/>
                    <a:ln>
                      <a:noFill/>
                    </a:ln>
                  </pic:spPr>
                </pic:pic>
              </a:graphicData>
            </a:graphic>
          </wp:anchor>
        </w:drawing>
      </w:r>
      <w:r>
        <w:rPr>
          <w:rFonts w:ascii="仿宋_GB2312" w:eastAsia="仿宋_GB2312" w:hAnsi="仿宋_GB2312" w:cs="仿宋_GB2312" w:hint="eastAsia"/>
          <w:b/>
          <w:bCs/>
          <w:sz w:val="28"/>
          <w:szCs w:val="28"/>
        </w:rPr>
        <w:t>8.</w:t>
      </w:r>
      <w:r>
        <w:rPr>
          <w:rFonts w:ascii="仿宋_GB2312" w:eastAsia="仿宋_GB2312" w:hAnsi="仿宋_GB2312" w:cs="仿宋_GB2312" w:hint="eastAsia"/>
          <w:b/>
          <w:bCs/>
          <w:sz w:val="28"/>
          <w:szCs w:val="28"/>
        </w:rPr>
        <w:t>吊枝管理。</w:t>
      </w:r>
      <w:r>
        <w:rPr>
          <w:rFonts w:ascii="仿宋_GB2312" w:eastAsia="仿宋_GB2312" w:hAnsi="仿宋_GB2312" w:cs="仿宋_GB2312" w:hint="eastAsia"/>
          <w:sz w:val="28"/>
          <w:szCs w:val="28"/>
        </w:rPr>
        <w:t>辣椒长至</w:t>
      </w:r>
      <w:r>
        <w:rPr>
          <w:rFonts w:ascii="仿宋_GB2312" w:eastAsia="仿宋_GB2312" w:hAnsi="仿宋_GB2312" w:cs="仿宋_GB2312" w:hint="eastAsia"/>
          <w:sz w:val="28"/>
          <w:szCs w:val="28"/>
        </w:rPr>
        <w:t>35</w:t>
      </w:r>
      <w:r>
        <w:rPr>
          <w:rFonts w:ascii="仿宋_GB2312" w:eastAsia="仿宋_GB2312" w:hAnsi="仿宋_GB2312" w:cs="仿宋_GB2312" w:hint="eastAsia"/>
          <w:sz w:val="28"/>
          <w:szCs w:val="28"/>
        </w:rPr>
        <w:t>公分以上，主杆明显开张后，将主杆用绳子吊起系于垄面钢丝上。每垄辣椒上方，设两行钢丝，每株辣椒四根主杆，两两分开吊在在两行钢丝之上。</w:t>
      </w:r>
    </w:p>
    <w:p w:rsidR="00D13F86" w:rsidRDefault="00FC54D8">
      <w:pPr>
        <w:pStyle w:val="a3"/>
        <w:ind w:firstLine="562"/>
        <w:rPr>
          <w:rFonts w:ascii="仿宋_GB2312" w:eastAsia="仿宋_GB2312" w:hAnsi="仿宋_GB2312" w:cs="仿宋_GB2312"/>
          <w:sz w:val="28"/>
          <w:szCs w:val="28"/>
        </w:rPr>
      </w:pPr>
      <w:r>
        <w:rPr>
          <w:rFonts w:ascii="仿宋_GB2312" w:eastAsia="仿宋_GB2312" w:hAnsi="仿宋_GB2312" w:cs="仿宋_GB2312" w:hint="eastAsia"/>
          <w:b/>
          <w:bCs/>
          <w:noProof/>
          <w:sz w:val="28"/>
          <w:szCs w:val="28"/>
        </w:rPr>
        <w:lastRenderedPageBreak/>
        <w:drawing>
          <wp:anchor distT="0" distB="0" distL="114300" distR="114300" simplePos="0" relativeHeight="251669504" behindDoc="0" locked="0" layoutInCell="1" allowOverlap="1">
            <wp:simplePos x="0" y="0"/>
            <wp:positionH relativeFrom="margin">
              <wp:posOffset>1390015</wp:posOffset>
            </wp:positionH>
            <wp:positionV relativeFrom="paragraph">
              <wp:posOffset>5179060</wp:posOffset>
            </wp:positionV>
            <wp:extent cx="2683510" cy="3641725"/>
            <wp:effectExtent l="0" t="0" r="13970" b="63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83510" cy="3641725"/>
                    </a:xfrm>
                    <a:prstGeom prst="rect">
                      <a:avLst/>
                    </a:prstGeom>
                    <a:noFill/>
                    <a:ln>
                      <a:noFill/>
                    </a:ln>
                  </pic:spPr>
                </pic:pic>
              </a:graphicData>
            </a:graphic>
          </wp:anchor>
        </w:drawing>
      </w:r>
      <w:r>
        <w:rPr>
          <w:rFonts w:ascii="仿宋_GB2312" w:eastAsia="仿宋_GB2312" w:hAnsi="仿宋_GB2312" w:cs="仿宋_GB2312" w:hint="eastAsia"/>
          <w:b/>
          <w:bCs/>
          <w:noProof/>
          <w:sz w:val="28"/>
          <w:szCs w:val="28"/>
        </w:rPr>
        <w:drawing>
          <wp:anchor distT="0" distB="0" distL="114300" distR="114300" simplePos="0" relativeHeight="251668480" behindDoc="1" locked="0" layoutInCell="1" allowOverlap="1">
            <wp:simplePos x="0" y="0"/>
            <wp:positionH relativeFrom="margin">
              <wp:posOffset>421005</wp:posOffset>
            </wp:positionH>
            <wp:positionV relativeFrom="paragraph">
              <wp:posOffset>34925</wp:posOffset>
            </wp:positionV>
            <wp:extent cx="4449445" cy="3337560"/>
            <wp:effectExtent l="0" t="0" r="635" b="0"/>
            <wp:wrapTight wrapText="bothSides">
              <wp:wrapPolygon edited="0">
                <wp:start x="0" y="0"/>
                <wp:lineTo x="0" y="21501"/>
                <wp:lineTo x="21529" y="21501"/>
                <wp:lineTo x="21529"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449445" cy="3337560"/>
                    </a:xfrm>
                    <a:prstGeom prst="rect">
                      <a:avLst/>
                    </a:prstGeom>
                    <a:noFill/>
                    <a:ln>
                      <a:noFill/>
                    </a:ln>
                  </pic:spPr>
                </pic:pic>
              </a:graphicData>
            </a:graphic>
          </wp:anchor>
        </w:drawing>
      </w:r>
      <w:r>
        <w:rPr>
          <w:rFonts w:ascii="仿宋_GB2312" w:eastAsia="仿宋_GB2312" w:hAnsi="仿宋_GB2312" w:cs="仿宋_GB2312" w:hint="eastAsia"/>
          <w:b/>
          <w:bCs/>
          <w:sz w:val="28"/>
          <w:szCs w:val="28"/>
        </w:rPr>
        <w:t>9.</w:t>
      </w:r>
      <w:r>
        <w:rPr>
          <w:rFonts w:ascii="仿宋_GB2312" w:eastAsia="仿宋_GB2312" w:hAnsi="仿宋_GB2312" w:cs="仿宋_GB2312" w:hint="eastAsia"/>
          <w:b/>
          <w:bCs/>
          <w:sz w:val="28"/>
          <w:szCs w:val="28"/>
        </w:rPr>
        <w:t>“</w:t>
      </w:r>
      <w:r>
        <w:rPr>
          <w:rFonts w:ascii="仿宋_GB2312" w:eastAsia="仿宋_GB2312" w:hAnsi="仿宋_GB2312" w:cs="仿宋_GB2312" w:hint="eastAsia"/>
          <w:b/>
          <w:bCs/>
          <w:sz w:val="28"/>
          <w:szCs w:val="28"/>
        </w:rPr>
        <w:t>N-X</w:t>
      </w:r>
      <w:r>
        <w:rPr>
          <w:rFonts w:ascii="仿宋_GB2312" w:eastAsia="仿宋_GB2312" w:hAnsi="仿宋_GB2312" w:cs="仿宋_GB2312" w:hint="eastAsia"/>
          <w:b/>
          <w:bCs/>
          <w:sz w:val="28"/>
          <w:szCs w:val="28"/>
        </w:rPr>
        <w:t>”整枝法。</w:t>
      </w:r>
      <w:r>
        <w:rPr>
          <w:rFonts w:ascii="仿宋_GB2312" w:eastAsia="仿宋_GB2312" w:hAnsi="仿宋_GB2312" w:cs="仿宋_GB2312" w:hint="eastAsia"/>
          <w:sz w:val="28"/>
          <w:szCs w:val="28"/>
        </w:rPr>
        <w:t>越冬长茬管理后期，在原有主竿总数</w:t>
      </w:r>
      <w:r>
        <w:rPr>
          <w:rFonts w:ascii="仿宋_GB2312" w:eastAsia="仿宋_GB2312" w:hAnsi="仿宋_GB2312" w:cs="仿宋_GB2312" w:hint="eastAsia"/>
          <w:sz w:val="28"/>
          <w:szCs w:val="28"/>
        </w:rPr>
        <w:t>N</w:t>
      </w:r>
      <w:r>
        <w:rPr>
          <w:rFonts w:ascii="仿宋_GB2312" w:eastAsia="仿宋_GB2312" w:hAnsi="仿宋_GB2312" w:cs="仿宋_GB2312" w:hint="eastAsia"/>
          <w:sz w:val="28"/>
          <w:szCs w:val="28"/>
        </w:rPr>
        <w:t>的基础上，去除较弱、座果较少的</w:t>
      </w:r>
      <w:r>
        <w:rPr>
          <w:rFonts w:ascii="仿宋_GB2312" w:eastAsia="仿宋_GB2312" w:hAnsi="仿宋_GB2312" w:cs="仿宋_GB2312" w:hint="eastAsia"/>
          <w:sz w:val="28"/>
          <w:szCs w:val="28"/>
        </w:rPr>
        <w:t>X</w:t>
      </w:r>
      <w:r>
        <w:rPr>
          <w:rFonts w:ascii="仿宋_GB2312" w:eastAsia="仿宋_GB2312" w:hAnsi="仿宋_GB2312" w:cs="仿宋_GB2312" w:hint="eastAsia"/>
          <w:sz w:val="28"/>
          <w:szCs w:val="28"/>
        </w:rPr>
        <w:t>根主杆，</w:t>
      </w:r>
      <w:r>
        <w:rPr>
          <w:rFonts w:ascii="仿宋_GB2312" w:eastAsia="仿宋_GB2312" w:hAnsi="仿宋_GB2312" w:cs="仿宋_GB2312" w:hint="eastAsia"/>
          <w:sz w:val="28"/>
          <w:szCs w:val="28"/>
        </w:rPr>
        <w:t>根据不同品种、种植密度和管理水平的水不同，</w:t>
      </w:r>
      <w:r>
        <w:rPr>
          <w:rFonts w:ascii="仿宋_GB2312" w:eastAsia="仿宋_GB2312" w:hAnsi="仿宋_GB2312" w:cs="仿宋_GB2312" w:hint="eastAsia"/>
          <w:sz w:val="28"/>
          <w:szCs w:val="28"/>
        </w:rPr>
        <w:t>N=4</w:t>
      </w:r>
      <w:r>
        <w:rPr>
          <w:rFonts w:ascii="仿宋_GB2312" w:eastAsia="仿宋_GB2312" w:hAnsi="仿宋_GB2312" w:cs="仿宋_GB2312" w:hint="eastAsia"/>
          <w:sz w:val="28"/>
          <w:szCs w:val="28"/>
        </w:rPr>
        <w:t>或</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X=1</w:t>
      </w:r>
      <w:r>
        <w:rPr>
          <w:rFonts w:ascii="仿宋_GB2312" w:eastAsia="仿宋_GB2312" w:hAnsi="仿宋_GB2312" w:cs="仿宋_GB2312" w:hint="eastAsia"/>
          <w:sz w:val="28"/>
          <w:szCs w:val="28"/>
        </w:rPr>
        <w:t>或</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w:t>
      </w:r>
    </w:p>
    <w:p w:rsidR="00D13F86" w:rsidRDefault="00FC54D8">
      <w:pPr>
        <w:pStyle w:val="a3"/>
        <w:ind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10.</w:t>
      </w:r>
      <w:r>
        <w:rPr>
          <w:rFonts w:ascii="仿宋_GB2312" w:eastAsia="仿宋_GB2312" w:hAnsi="仿宋_GB2312" w:cs="仿宋_GB2312" w:hint="eastAsia"/>
          <w:b/>
          <w:bCs/>
          <w:sz w:val="28"/>
          <w:szCs w:val="28"/>
        </w:rPr>
        <w:t>棚型专利。</w:t>
      </w:r>
    </w:p>
    <w:p w:rsidR="00D13F86" w:rsidRDefault="00FC54D8">
      <w:pPr>
        <w:pStyle w:val="a3"/>
        <w:ind w:firstLine="560"/>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anchor distT="0" distB="0" distL="114300" distR="114300" simplePos="0" relativeHeight="251670528" behindDoc="0" locked="0" layoutInCell="1" allowOverlap="1">
            <wp:simplePos x="0" y="0"/>
            <wp:positionH relativeFrom="margin">
              <wp:posOffset>277495</wp:posOffset>
            </wp:positionH>
            <wp:positionV relativeFrom="paragraph">
              <wp:posOffset>3696970</wp:posOffset>
            </wp:positionV>
            <wp:extent cx="4947285" cy="1985010"/>
            <wp:effectExtent l="0" t="0" r="5715" b="1143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947285" cy="1985010"/>
                    </a:xfrm>
                    <a:prstGeom prst="rect">
                      <a:avLst/>
                    </a:prstGeom>
                  </pic:spPr>
                </pic:pic>
              </a:graphicData>
            </a:graphic>
          </wp:anchor>
        </w:drawing>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一种保温控湿大棚：大棚棚体内设置有内棚架，相邻棚架之间设置有若干个薄膜支撑架，棚架包括有基架和设置在基架顶部的顶棚，顶棚上设置有外排气卷膜器；基架包括有两支撑架和连接两支撑架之间的连接支撑杆，支撑架包括有支撑杆，支撑杆靠近顶棚的一端连接有</w:t>
      </w:r>
      <w:r>
        <w:rPr>
          <w:rFonts w:ascii="仿宋_GB2312" w:eastAsia="仿宋_GB2312" w:hAnsi="仿宋_GB2312" w:cs="仿宋_GB2312" w:hint="eastAsia"/>
          <w:sz w:val="28"/>
          <w:szCs w:val="28"/>
        </w:rPr>
        <w:t>V</w:t>
      </w:r>
      <w:r>
        <w:rPr>
          <w:rFonts w:ascii="仿宋_GB2312" w:eastAsia="仿宋_GB2312" w:hAnsi="仿宋_GB2312" w:cs="仿宋_GB2312" w:hint="eastAsia"/>
          <w:sz w:val="28"/>
          <w:szCs w:val="28"/>
        </w:rPr>
        <w:t>型导水槽，通过在内棚架和大棚棚体上设置防晒网达到降低大棚棚体内的温度的作用，同时通过外排气卷膜器开启大棚棚体顶部的薄膜，使得大棚棚体内部的热气快速散发出去，达到快速降温的作用。</w:t>
      </w:r>
    </w:p>
    <w:p w:rsidR="00D13F86" w:rsidRDefault="00FC54D8">
      <w:pPr>
        <w:pStyle w:val="a3"/>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一种内遮阳降温大棚：包括多根大棚支架，大棚支架包括多根垂直放置的侧主立柱，侧主立柱顶部之间设有水平横梁，侧主立柱之间还设有内拱管以及外拱管，外拱管设置水平横梁上方，内拱管设置在水平横梁下方，外拱管下方还连接有多根顶纵连杆，内拱管下方连接有多根内顶纵连杆，水平横梁与外拱管之间设有多根第一吊杆，外拱管上方设有延伸部，延伸部与外拱管之间设有第二吊</w:t>
      </w:r>
      <w:r>
        <w:rPr>
          <w:rFonts w:ascii="仿宋_GB2312" w:eastAsia="仿宋_GB2312" w:hAnsi="仿宋_GB2312" w:cs="仿宋_GB2312" w:hint="eastAsia"/>
          <w:noProof/>
          <w:sz w:val="28"/>
          <w:szCs w:val="28"/>
        </w:rPr>
        <w:drawing>
          <wp:anchor distT="0" distB="0" distL="114300" distR="114300" simplePos="0" relativeHeight="251671552" behindDoc="1" locked="0" layoutInCell="1" allowOverlap="1">
            <wp:simplePos x="0" y="0"/>
            <wp:positionH relativeFrom="margin">
              <wp:posOffset>287020</wp:posOffset>
            </wp:positionH>
            <wp:positionV relativeFrom="paragraph">
              <wp:posOffset>1670050</wp:posOffset>
            </wp:positionV>
            <wp:extent cx="4565015" cy="2817495"/>
            <wp:effectExtent l="0" t="0" r="6985" b="190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65015" cy="2817495"/>
                    </a:xfrm>
                    <a:prstGeom prst="rect">
                      <a:avLst/>
                    </a:prstGeom>
                  </pic:spPr>
                </pic:pic>
              </a:graphicData>
            </a:graphic>
          </wp:anchor>
        </w:drawing>
      </w:r>
      <w:r>
        <w:rPr>
          <w:rFonts w:ascii="仿宋_GB2312" w:eastAsia="仿宋_GB2312" w:hAnsi="仿宋_GB2312" w:cs="仿宋_GB2312" w:hint="eastAsia"/>
          <w:sz w:val="28"/>
          <w:szCs w:val="28"/>
        </w:rPr>
        <w:t>杆，第二吊杆以及侧主立柱上设有滑轮，本实用新型结构紧凑，且使用方法简单，成本低廉，棚内温度效果显著，便于入夏时节作物生长，降低工人工作环境温度，延长工作时间。</w:t>
      </w:r>
    </w:p>
    <w:p w:rsidR="00D13F86" w:rsidRDefault="00FC54D8">
      <w:pPr>
        <w:adjustRightInd w:val="0"/>
        <w:snapToGrid w:val="0"/>
        <w:spacing w:line="600" w:lineRule="exact"/>
        <w:ind w:firstLine="640"/>
        <w:rPr>
          <w:rFonts w:ascii="Times New Roman" w:eastAsia="黑体" w:hAnsi="Times New Roman"/>
          <w:color w:val="000000" w:themeColor="text1"/>
          <w:sz w:val="28"/>
          <w:szCs w:val="28"/>
        </w:rPr>
      </w:pPr>
      <w:r>
        <w:rPr>
          <w:rFonts w:ascii="Times New Roman" w:eastAsia="黑体" w:hAnsi="Times New Roman"/>
          <w:color w:val="000000" w:themeColor="text1"/>
          <w:sz w:val="32"/>
          <w:szCs w:val="32"/>
        </w:rPr>
        <w:t>三、适宜区域</w:t>
      </w:r>
      <w:r>
        <w:rPr>
          <w:rFonts w:ascii="Times New Roman" w:eastAsia="黑体" w:hAnsi="Times New Roman" w:hint="eastAsia"/>
          <w:color w:val="000000" w:themeColor="text1"/>
          <w:sz w:val="28"/>
          <w:szCs w:val="28"/>
        </w:rPr>
        <w:t>（适应推广应用的主要区域）</w:t>
      </w:r>
    </w:p>
    <w:p w:rsidR="00D13F86" w:rsidRDefault="00FC54D8">
      <w:pPr>
        <w:ind w:firstLineChars="200" w:firstLine="560"/>
        <w:rPr>
          <w:rFonts w:ascii="Times New Roman" w:eastAsia="黑体" w:hAnsi="Times New Roman"/>
          <w:color w:val="000000" w:themeColor="text1"/>
          <w:sz w:val="28"/>
          <w:szCs w:val="28"/>
        </w:rPr>
      </w:pPr>
      <w:r>
        <w:rPr>
          <w:rFonts w:ascii="仿宋_GB2312" w:eastAsia="仿宋_GB2312" w:hAnsi="仿宋_GB2312" w:cs="仿宋_GB2312" w:hint="eastAsia"/>
          <w:sz w:val="28"/>
          <w:szCs w:val="28"/>
        </w:rPr>
        <w:t>江西省域范围内建有双层塑料覆盖的连栋或单栋大棚，以及其他同纬度和同海拔高度的其他具有同等气候条件和同等设施内地域内的辣椒越冬长茬的栽培管理均可推广应用。</w:t>
      </w:r>
    </w:p>
    <w:p w:rsidR="00D13F86" w:rsidRDefault="00FC54D8">
      <w:pPr>
        <w:adjustRightInd w:val="0"/>
        <w:snapToGrid w:val="0"/>
        <w:spacing w:line="600" w:lineRule="exact"/>
        <w:ind w:firstLine="640"/>
        <w:rPr>
          <w:rFonts w:ascii="Times New Roman" w:eastAsia="黑体" w:hAnsi="Times New Roman"/>
          <w:color w:val="000000" w:themeColor="text1"/>
          <w:sz w:val="28"/>
          <w:szCs w:val="28"/>
        </w:rPr>
      </w:pPr>
      <w:r>
        <w:rPr>
          <w:rFonts w:ascii="Times New Roman" w:eastAsia="黑体" w:hAnsi="Times New Roman"/>
          <w:color w:val="000000" w:themeColor="text1"/>
          <w:sz w:val="32"/>
          <w:szCs w:val="32"/>
        </w:rPr>
        <w:t>四、注意事项</w:t>
      </w:r>
      <w:r>
        <w:rPr>
          <w:rFonts w:ascii="Times New Roman" w:eastAsia="黑体" w:hAnsi="Times New Roman" w:hint="eastAsia"/>
          <w:color w:val="000000" w:themeColor="text1"/>
          <w:sz w:val="28"/>
          <w:szCs w:val="28"/>
        </w:rPr>
        <w:t>（在技术推广应用过程中需特别注意的环节）</w:t>
      </w:r>
    </w:p>
    <w:p w:rsidR="00D13F86" w:rsidRDefault="00FC54D8">
      <w:pPr>
        <w:ind w:firstLineChars="200" w:firstLine="560"/>
        <w:rPr>
          <w:rFonts w:ascii="仿宋" w:eastAsia="仿宋" w:hAnsi="仿宋" w:cs="仿宋"/>
          <w:bCs/>
          <w:sz w:val="28"/>
          <w:szCs w:val="28"/>
          <w:lang w:bidi="ar"/>
        </w:rPr>
      </w:pPr>
      <w:r>
        <w:rPr>
          <w:rFonts w:ascii="仿宋" w:eastAsia="仿宋" w:hAnsi="仿宋" w:cs="仿宋" w:hint="eastAsia"/>
          <w:bCs/>
          <w:sz w:val="28"/>
          <w:szCs w:val="28"/>
          <w:lang w:bidi="ar"/>
        </w:rPr>
        <w:t>1.</w:t>
      </w:r>
      <w:r>
        <w:rPr>
          <w:rFonts w:ascii="仿宋" w:eastAsia="仿宋" w:hAnsi="仿宋" w:cs="仿宋" w:hint="eastAsia"/>
          <w:bCs/>
          <w:sz w:val="28"/>
          <w:szCs w:val="28"/>
          <w:lang w:bidi="ar"/>
        </w:rPr>
        <w:t>施用的有机肥需充分腐熟，若施用生有机肥需在施入翻耕后浇</w:t>
      </w:r>
      <w:r>
        <w:rPr>
          <w:rFonts w:ascii="仿宋" w:eastAsia="仿宋" w:hAnsi="仿宋" w:cs="仿宋" w:hint="eastAsia"/>
          <w:bCs/>
          <w:sz w:val="28"/>
          <w:szCs w:val="28"/>
          <w:lang w:bidi="ar"/>
        </w:rPr>
        <w:lastRenderedPageBreak/>
        <w:t>透进行闷棚发酵</w:t>
      </w:r>
      <w:r>
        <w:rPr>
          <w:rFonts w:ascii="仿宋" w:eastAsia="仿宋" w:hAnsi="仿宋" w:cs="仿宋" w:hint="eastAsia"/>
          <w:bCs/>
          <w:sz w:val="28"/>
          <w:szCs w:val="28"/>
          <w:lang w:bidi="ar"/>
        </w:rPr>
        <w:t>20</w:t>
      </w:r>
      <w:r>
        <w:rPr>
          <w:rFonts w:ascii="仿宋" w:eastAsia="仿宋" w:hAnsi="仿宋" w:cs="仿宋" w:hint="eastAsia"/>
          <w:bCs/>
          <w:sz w:val="28"/>
          <w:szCs w:val="28"/>
          <w:lang w:bidi="ar"/>
        </w:rPr>
        <w:t>天以上。</w:t>
      </w:r>
    </w:p>
    <w:p w:rsidR="00D13F86" w:rsidRDefault="00FC54D8">
      <w:pPr>
        <w:ind w:firstLineChars="200" w:firstLine="560"/>
        <w:rPr>
          <w:rFonts w:ascii="仿宋" w:eastAsia="仿宋" w:hAnsi="仿宋" w:cs="仿宋"/>
          <w:bCs/>
          <w:sz w:val="28"/>
          <w:szCs w:val="28"/>
          <w:lang w:bidi="ar"/>
        </w:rPr>
      </w:pPr>
      <w:r>
        <w:rPr>
          <w:rFonts w:ascii="仿宋" w:eastAsia="仿宋" w:hAnsi="仿宋" w:cs="仿宋" w:hint="eastAsia"/>
          <w:bCs/>
          <w:sz w:val="28"/>
          <w:szCs w:val="28"/>
          <w:lang w:bidi="ar"/>
        </w:rPr>
        <w:t>2.</w:t>
      </w:r>
      <w:r>
        <w:rPr>
          <w:rFonts w:ascii="仿宋" w:eastAsia="仿宋" w:hAnsi="仿宋" w:cs="仿宋" w:hint="eastAsia"/>
          <w:bCs/>
          <w:sz w:val="28"/>
          <w:szCs w:val="28"/>
          <w:lang w:bidi="ar"/>
        </w:rPr>
        <w:t>苗盘蘸根后</w:t>
      </w:r>
      <w:r>
        <w:rPr>
          <w:rFonts w:ascii="仿宋" w:eastAsia="仿宋" w:hAnsi="仿宋" w:cs="仿宋" w:hint="eastAsia"/>
          <w:bCs/>
          <w:sz w:val="28"/>
          <w:szCs w:val="28"/>
          <w:lang w:bidi="ar"/>
        </w:rPr>
        <w:t>宜</w:t>
      </w:r>
      <w:r>
        <w:rPr>
          <w:rFonts w:ascii="仿宋" w:eastAsia="仿宋" w:hAnsi="仿宋" w:cs="仿宋" w:hint="eastAsia"/>
          <w:bCs/>
          <w:sz w:val="28"/>
          <w:szCs w:val="28"/>
          <w:lang w:bidi="ar"/>
        </w:rPr>
        <w:t>静置</w:t>
      </w:r>
      <w:r>
        <w:rPr>
          <w:rFonts w:ascii="仿宋" w:eastAsia="仿宋" w:hAnsi="仿宋" w:cs="仿宋" w:hint="eastAsia"/>
          <w:bCs/>
          <w:sz w:val="28"/>
          <w:szCs w:val="28"/>
          <w:lang w:bidi="ar"/>
        </w:rPr>
        <w:t>4</w:t>
      </w:r>
      <w:r>
        <w:rPr>
          <w:rFonts w:ascii="仿宋" w:eastAsia="仿宋" w:hAnsi="仿宋" w:cs="仿宋" w:hint="eastAsia"/>
          <w:bCs/>
          <w:sz w:val="28"/>
          <w:szCs w:val="28"/>
          <w:lang w:bidi="ar"/>
        </w:rPr>
        <w:t>个小时，待药液被根系充分吸收传导后再行定植。</w:t>
      </w:r>
    </w:p>
    <w:p w:rsidR="00D13F86" w:rsidRDefault="00FC54D8">
      <w:pPr>
        <w:ind w:firstLineChars="200" w:firstLine="560"/>
        <w:rPr>
          <w:rFonts w:ascii="仿宋" w:eastAsia="仿宋" w:hAnsi="仿宋" w:cs="仿宋"/>
          <w:bCs/>
          <w:sz w:val="28"/>
          <w:szCs w:val="28"/>
          <w:lang w:bidi="ar"/>
        </w:rPr>
      </w:pPr>
      <w:r>
        <w:rPr>
          <w:rFonts w:ascii="仿宋" w:eastAsia="仿宋" w:hAnsi="仿宋" w:cs="仿宋" w:hint="eastAsia"/>
          <w:bCs/>
          <w:sz w:val="28"/>
          <w:szCs w:val="28"/>
          <w:lang w:bidi="ar"/>
        </w:rPr>
        <w:t>3.</w:t>
      </w:r>
      <w:r>
        <w:rPr>
          <w:rFonts w:ascii="仿宋" w:eastAsia="仿宋" w:hAnsi="仿宋" w:cs="仿宋" w:hint="eastAsia"/>
          <w:bCs/>
          <w:sz w:val="28"/>
          <w:szCs w:val="28"/>
          <w:lang w:bidi="ar"/>
        </w:rPr>
        <w:t>土壤消毒注意事项</w:t>
      </w:r>
      <w:r>
        <w:rPr>
          <w:rFonts w:ascii="仿宋" w:eastAsia="仿宋" w:hAnsi="仿宋" w:cs="仿宋" w:hint="eastAsia"/>
          <w:bCs/>
          <w:sz w:val="28"/>
          <w:szCs w:val="28"/>
          <w:lang w:bidi="ar"/>
        </w:rPr>
        <w:t>。</w:t>
      </w:r>
    </w:p>
    <w:p w:rsidR="00D13F86" w:rsidRDefault="00FC54D8">
      <w:pPr>
        <w:ind w:firstLineChars="200" w:firstLine="560"/>
        <w:rPr>
          <w:rFonts w:ascii="仿宋" w:eastAsia="仿宋" w:hAnsi="仿宋" w:cs="仿宋"/>
          <w:bCs/>
          <w:sz w:val="28"/>
          <w:szCs w:val="28"/>
          <w:lang w:bidi="ar"/>
        </w:rPr>
      </w:pPr>
      <w:r>
        <w:rPr>
          <w:rFonts w:ascii="仿宋" w:eastAsia="仿宋" w:hAnsi="仿宋" w:cs="仿宋" w:hint="eastAsia"/>
          <w:bCs/>
          <w:sz w:val="28"/>
          <w:szCs w:val="28"/>
          <w:lang w:bidi="ar"/>
        </w:rPr>
        <w:t>石灰氮消毒：（</w:t>
      </w:r>
      <w:r>
        <w:rPr>
          <w:rFonts w:ascii="仿宋" w:eastAsia="仿宋" w:hAnsi="仿宋" w:cs="仿宋" w:hint="eastAsia"/>
          <w:bCs/>
          <w:sz w:val="28"/>
          <w:szCs w:val="28"/>
          <w:lang w:bidi="ar"/>
        </w:rPr>
        <w:t>1</w:t>
      </w:r>
      <w:r>
        <w:rPr>
          <w:rFonts w:ascii="仿宋" w:eastAsia="仿宋" w:hAnsi="仿宋" w:cs="仿宋" w:hint="eastAsia"/>
          <w:bCs/>
          <w:sz w:val="28"/>
          <w:szCs w:val="28"/>
          <w:lang w:bidi="ar"/>
        </w:rPr>
        <w:t>）闷棚时，上茬秸秆还田、增施未发酵腐熟有机肥有助于提高石灰氮闷棚效果。石灰氮遇水放热与有机肥腐熟放热相结合，注意棚膜密闭，闷棚效果更佳；（</w:t>
      </w:r>
      <w:r>
        <w:rPr>
          <w:rFonts w:ascii="仿宋" w:eastAsia="仿宋" w:hAnsi="仿宋" w:cs="仿宋" w:hint="eastAsia"/>
          <w:bCs/>
          <w:sz w:val="28"/>
          <w:szCs w:val="28"/>
          <w:lang w:bidi="ar"/>
        </w:rPr>
        <w:t>2</w:t>
      </w:r>
      <w:r>
        <w:rPr>
          <w:rFonts w:ascii="仿宋" w:eastAsia="仿宋" w:hAnsi="仿宋" w:cs="仿宋" w:hint="eastAsia"/>
          <w:bCs/>
          <w:sz w:val="28"/>
          <w:szCs w:val="28"/>
          <w:lang w:bidi="ar"/>
        </w:rPr>
        <w:t>）利用石灰氮遇水分解放热，释放单氰胺，双氰胺等有毒气体进行熏蒸，人体出汗后与接触也会分解，操作人员严禁饮酒（乙醇会加速石灰氮对人体的有害作用），选择阴天或早晚撒施，戴口罩及橡胶手套操作；（</w:t>
      </w:r>
      <w:r>
        <w:rPr>
          <w:rFonts w:ascii="仿宋" w:eastAsia="仿宋" w:hAnsi="仿宋" w:cs="仿宋" w:hint="eastAsia"/>
          <w:bCs/>
          <w:sz w:val="28"/>
          <w:szCs w:val="28"/>
          <w:lang w:bidi="ar"/>
        </w:rPr>
        <w:t>3</w:t>
      </w:r>
      <w:r>
        <w:rPr>
          <w:rFonts w:ascii="仿宋" w:eastAsia="仿宋" w:hAnsi="仿宋" w:cs="仿宋" w:hint="eastAsia"/>
          <w:bCs/>
          <w:sz w:val="28"/>
          <w:szCs w:val="28"/>
          <w:lang w:bidi="ar"/>
        </w:rPr>
        <w:t>）灭杀性强，菌，虫，草，卵，兼杀，结束后应做发芽试验并及时补充有益菌（如各类芽孢杆菌，哈茨木霉菌，</w:t>
      </w:r>
      <w:r>
        <w:rPr>
          <w:rFonts w:ascii="仿宋" w:eastAsia="仿宋" w:hAnsi="仿宋" w:cs="仿宋" w:hint="eastAsia"/>
          <w:bCs/>
          <w:sz w:val="28"/>
          <w:szCs w:val="28"/>
          <w:lang w:bidi="ar"/>
        </w:rPr>
        <w:t>EM</w:t>
      </w:r>
      <w:r>
        <w:rPr>
          <w:rFonts w:ascii="仿宋" w:eastAsia="仿宋" w:hAnsi="仿宋" w:cs="仿宋" w:hint="eastAsia"/>
          <w:bCs/>
          <w:sz w:val="28"/>
          <w:szCs w:val="28"/>
          <w:lang w:bidi="ar"/>
        </w:rPr>
        <w:t>菌，淡紫拟青霉等）。</w:t>
      </w:r>
    </w:p>
    <w:p w:rsidR="00D13F86" w:rsidRDefault="00FC54D8">
      <w:pPr>
        <w:ind w:firstLineChars="200" w:firstLine="560"/>
        <w:rPr>
          <w:rFonts w:ascii="仿宋" w:eastAsia="仿宋" w:hAnsi="仿宋" w:cs="仿宋"/>
          <w:bCs/>
          <w:sz w:val="28"/>
          <w:szCs w:val="28"/>
          <w:lang w:bidi="ar"/>
        </w:rPr>
      </w:pPr>
      <w:r>
        <w:rPr>
          <w:rFonts w:ascii="仿宋" w:eastAsia="仿宋" w:hAnsi="仿宋" w:cs="仿宋" w:hint="eastAsia"/>
          <w:bCs/>
          <w:sz w:val="28"/>
          <w:szCs w:val="28"/>
          <w:lang w:bidi="ar"/>
        </w:rPr>
        <w:t>威百亩消毒：</w:t>
      </w:r>
      <w:r>
        <w:rPr>
          <w:rFonts w:ascii="仿宋" w:eastAsia="仿宋" w:hAnsi="仿宋" w:cs="仿宋" w:hint="eastAsia"/>
          <w:bCs/>
          <w:sz w:val="28"/>
          <w:szCs w:val="28"/>
          <w:lang w:bidi="ar"/>
        </w:rPr>
        <w:t>(1)</w:t>
      </w:r>
      <w:r>
        <w:rPr>
          <w:rFonts w:ascii="仿宋" w:eastAsia="仿宋" w:hAnsi="仿宋" w:cs="仿宋" w:hint="eastAsia"/>
          <w:bCs/>
          <w:sz w:val="28"/>
          <w:szCs w:val="28"/>
          <w:lang w:bidi="ar"/>
        </w:rPr>
        <w:t>威百亩低浓度易挥发，每斤</w:t>
      </w:r>
      <w:r>
        <w:rPr>
          <w:rFonts w:ascii="仿宋" w:eastAsia="仿宋" w:hAnsi="仿宋" w:cs="仿宋" w:hint="eastAsia"/>
          <w:bCs/>
          <w:sz w:val="28"/>
          <w:szCs w:val="28"/>
          <w:lang w:bidi="ar"/>
        </w:rPr>
        <w:t>兑水不超过</w:t>
      </w:r>
      <w:r>
        <w:rPr>
          <w:rFonts w:ascii="仿宋" w:eastAsia="仿宋" w:hAnsi="仿宋" w:cs="仿宋" w:hint="eastAsia"/>
          <w:bCs/>
          <w:sz w:val="28"/>
          <w:szCs w:val="28"/>
          <w:lang w:bidi="ar"/>
        </w:rPr>
        <w:t>50</w:t>
      </w:r>
      <w:r>
        <w:rPr>
          <w:rFonts w:ascii="仿宋" w:eastAsia="仿宋" w:hAnsi="仿宋" w:cs="仿宋" w:hint="eastAsia"/>
          <w:bCs/>
          <w:sz w:val="28"/>
          <w:szCs w:val="28"/>
          <w:lang w:bidi="ar"/>
        </w:rPr>
        <w:t>斤，注意人身安全；</w:t>
      </w:r>
      <w:r>
        <w:rPr>
          <w:rFonts w:ascii="仿宋" w:eastAsia="仿宋" w:hAnsi="仿宋" w:cs="仿宋" w:hint="eastAsia"/>
          <w:bCs/>
          <w:sz w:val="28"/>
          <w:szCs w:val="28"/>
          <w:lang w:bidi="ar"/>
        </w:rPr>
        <w:t>(2)</w:t>
      </w:r>
      <w:r>
        <w:rPr>
          <w:rFonts w:ascii="仿宋" w:eastAsia="仿宋" w:hAnsi="仿宋" w:cs="仿宋" w:hint="eastAsia"/>
          <w:bCs/>
          <w:sz w:val="28"/>
          <w:szCs w:val="28"/>
          <w:lang w:bidi="ar"/>
        </w:rPr>
        <w:t>用药量、膜的密闭性、闷棚时间及温度决定了闷棚效果，外膜破损应补尽补，棚内土地用</w:t>
      </w:r>
      <w:r>
        <w:rPr>
          <w:rFonts w:ascii="仿宋" w:eastAsia="仿宋" w:hAnsi="仿宋" w:cs="仿宋" w:hint="eastAsia"/>
          <w:bCs/>
          <w:sz w:val="28"/>
          <w:szCs w:val="28"/>
          <w:lang w:bidi="ar"/>
        </w:rPr>
        <w:t>2</w:t>
      </w:r>
      <w:r>
        <w:rPr>
          <w:rFonts w:ascii="仿宋" w:eastAsia="仿宋" w:hAnsi="仿宋" w:cs="仿宋" w:hint="eastAsia"/>
          <w:bCs/>
          <w:sz w:val="28"/>
          <w:szCs w:val="28"/>
          <w:lang w:bidi="ar"/>
        </w:rPr>
        <w:t>丝及以上白色地膜全部覆盖，接口处用夹子夹紧密封；</w:t>
      </w:r>
      <w:r>
        <w:rPr>
          <w:rFonts w:ascii="仿宋" w:eastAsia="仿宋" w:hAnsi="仿宋" w:cs="仿宋" w:hint="eastAsia"/>
          <w:bCs/>
          <w:sz w:val="28"/>
          <w:szCs w:val="28"/>
          <w:lang w:bidi="ar"/>
        </w:rPr>
        <w:t>(3)</w:t>
      </w:r>
      <w:r>
        <w:rPr>
          <w:rFonts w:ascii="仿宋" w:eastAsia="仿宋" w:hAnsi="仿宋" w:cs="仿宋" w:hint="eastAsia"/>
          <w:bCs/>
          <w:sz w:val="28"/>
          <w:szCs w:val="28"/>
          <w:lang w:bidi="ar"/>
        </w:rPr>
        <w:t>威百亩灭杀性强，菌，虫，草，卵，兼杀，结束后应做发芽试验并及时补充有益菌（如各类芽孢杆菌，哈茨木霉菌，</w:t>
      </w:r>
      <w:r>
        <w:rPr>
          <w:rFonts w:ascii="仿宋" w:eastAsia="仿宋" w:hAnsi="仿宋" w:cs="仿宋" w:hint="eastAsia"/>
          <w:bCs/>
          <w:sz w:val="28"/>
          <w:szCs w:val="28"/>
          <w:lang w:bidi="ar"/>
        </w:rPr>
        <w:t>EM</w:t>
      </w:r>
      <w:r>
        <w:rPr>
          <w:rFonts w:ascii="仿宋" w:eastAsia="仿宋" w:hAnsi="仿宋" w:cs="仿宋" w:hint="eastAsia"/>
          <w:bCs/>
          <w:sz w:val="28"/>
          <w:szCs w:val="28"/>
          <w:lang w:bidi="ar"/>
        </w:rPr>
        <w:t>菌，淡紫拟青霉等）。</w:t>
      </w:r>
    </w:p>
    <w:p w:rsidR="00D13F86" w:rsidRDefault="00FC54D8">
      <w:pPr>
        <w:ind w:firstLineChars="200" w:firstLine="560"/>
        <w:rPr>
          <w:rFonts w:ascii="Times New Roman" w:eastAsia="黑体" w:hAnsi="Times New Roman"/>
          <w:color w:val="000000" w:themeColor="text1"/>
          <w:sz w:val="28"/>
          <w:szCs w:val="28"/>
        </w:rPr>
      </w:pPr>
      <w:r>
        <w:rPr>
          <w:rFonts w:ascii="仿宋" w:eastAsia="仿宋" w:hAnsi="仿宋" w:cs="仿宋" w:hint="eastAsia"/>
          <w:bCs/>
          <w:sz w:val="28"/>
          <w:szCs w:val="28"/>
          <w:lang w:bidi="ar"/>
        </w:rPr>
        <w:t>4.</w:t>
      </w:r>
      <w:r>
        <w:rPr>
          <w:rFonts w:ascii="仿宋" w:eastAsia="仿宋" w:hAnsi="仿宋" w:cs="仿宋" w:hint="eastAsia"/>
          <w:bCs/>
          <w:sz w:val="28"/>
          <w:szCs w:val="28"/>
          <w:lang w:bidi="ar"/>
        </w:rPr>
        <w:t>覆盖地膜时间问题</w:t>
      </w:r>
      <w:r>
        <w:rPr>
          <w:rFonts w:ascii="仿宋" w:eastAsia="仿宋" w:hAnsi="仿宋" w:cs="仿宋" w:hint="eastAsia"/>
          <w:bCs/>
          <w:sz w:val="28"/>
          <w:szCs w:val="28"/>
          <w:lang w:bidi="ar"/>
        </w:rPr>
        <w:t>。越冬茬辣椒定植时还处于秋季较高温时期，</w:t>
      </w:r>
      <w:r>
        <w:rPr>
          <w:rFonts w:ascii="仿宋" w:eastAsia="仿宋" w:hAnsi="仿宋" w:cs="仿宋" w:hint="eastAsia"/>
          <w:bCs/>
          <w:sz w:val="28"/>
          <w:szCs w:val="28"/>
          <w:lang w:bidi="ar"/>
        </w:rPr>
        <w:t>不宜</w:t>
      </w:r>
      <w:r>
        <w:rPr>
          <w:rFonts w:ascii="仿宋" w:eastAsia="仿宋" w:hAnsi="仿宋" w:cs="仿宋" w:hint="eastAsia"/>
          <w:bCs/>
          <w:sz w:val="28"/>
          <w:szCs w:val="28"/>
          <w:lang w:bidi="ar"/>
        </w:rPr>
        <w:t>定植之前就提前铺好地膜，</w:t>
      </w:r>
      <w:r>
        <w:rPr>
          <w:rFonts w:ascii="仿宋" w:eastAsia="仿宋" w:hAnsi="仿宋" w:cs="仿宋" w:hint="eastAsia"/>
          <w:bCs/>
          <w:sz w:val="28"/>
          <w:szCs w:val="28"/>
          <w:lang w:bidi="ar"/>
        </w:rPr>
        <w:t>否则</w:t>
      </w:r>
      <w:r>
        <w:rPr>
          <w:rFonts w:ascii="仿宋" w:eastAsia="仿宋" w:hAnsi="仿宋" w:cs="仿宋" w:hint="eastAsia"/>
          <w:bCs/>
          <w:sz w:val="28"/>
          <w:szCs w:val="28"/>
          <w:lang w:bidi="ar"/>
        </w:rPr>
        <w:t>出现热气熏苗，不利于返苗，影响辣椒根系下扎，对整茬高产不利。</w:t>
      </w:r>
      <w:r>
        <w:rPr>
          <w:rFonts w:ascii="仿宋" w:eastAsia="仿宋" w:hAnsi="仿宋" w:cs="仿宋" w:hint="eastAsia"/>
          <w:bCs/>
          <w:sz w:val="28"/>
          <w:szCs w:val="28"/>
          <w:lang w:bidi="ar"/>
        </w:rPr>
        <w:t>宜待植株</w:t>
      </w:r>
      <w:r>
        <w:rPr>
          <w:rFonts w:ascii="仿宋" w:eastAsia="仿宋" w:hAnsi="仿宋" w:cs="仿宋" w:hint="eastAsia"/>
          <w:bCs/>
          <w:sz w:val="28"/>
          <w:szCs w:val="28"/>
          <w:lang w:bidi="ar"/>
        </w:rPr>
        <w:t>根系下扎之后，</w:t>
      </w:r>
      <w:r>
        <w:rPr>
          <w:rFonts w:ascii="仿宋" w:eastAsia="仿宋" w:hAnsi="仿宋" w:cs="仿宋" w:hint="eastAsia"/>
          <w:bCs/>
          <w:sz w:val="28"/>
          <w:szCs w:val="28"/>
          <w:lang w:bidi="ar"/>
        </w:rPr>
        <w:t>在</w:t>
      </w:r>
      <w:r>
        <w:rPr>
          <w:rFonts w:ascii="仿宋" w:eastAsia="仿宋" w:hAnsi="仿宋" w:cs="仿宋" w:hint="eastAsia"/>
          <w:bCs/>
          <w:sz w:val="28"/>
          <w:szCs w:val="28"/>
          <w:lang w:bidi="ar"/>
        </w:rPr>
        <w:t>吊绳之前，一般定植后</w:t>
      </w:r>
      <w:r>
        <w:rPr>
          <w:rFonts w:ascii="仿宋" w:eastAsia="仿宋" w:hAnsi="仿宋" w:cs="仿宋" w:hint="eastAsia"/>
          <w:bCs/>
          <w:sz w:val="28"/>
          <w:szCs w:val="28"/>
          <w:lang w:bidi="ar"/>
        </w:rPr>
        <w:t>25-30</w:t>
      </w:r>
      <w:r>
        <w:rPr>
          <w:rFonts w:ascii="仿宋" w:eastAsia="仿宋" w:hAnsi="仿宋" w:cs="仿宋" w:hint="eastAsia"/>
          <w:bCs/>
          <w:sz w:val="28"/>
          <w:szCs w:val="28"/>
          <w:lang w:bidi="ar"/>
        </w:rPr>
        <w:t>天</w:t>
      </w:r>
      <w:r>
        <w:rPr>
          <w:rFonts w:ascii="仿宋" w:eastAsia="仿宋" w:hAnsi="仿宋" w:cs="仿宋" w:hint="eastAsia"/>
          <w:bCs/>
          <w:sz w:val="28"/>
          <w:szCs w:val="28"/>
          <w:lang w:bidi="ar"/>
        </w:rPr>
        <w:t>进行</w:t>
      </w:r>
      <w:r>
        <w:rPr>
          <w:rFonts w:ascii="仿宋" w:eastAsia="仿宋" w:hAnsi="仿宋" w:cs="仿宋" w:hint="eastAsia"/>
          <w:bCs/>
          <w:sz w:val="28"/>
          <w:szCs w:val="28"/>
          <w:lang w:bidi="ar"/>
        </w:rPr>
        <w:t>覆盖地膜。</w:t>
      </w:r>
    </w:p>
    <w:p w:rsidR="00D13F86" w:rsidRDefault="00FC54D8">
      <w:pPr>
        <w:snapToGrid w:val="0"/>
        <w:spacing w:line="560" w:lineRule="exact"/>
        <w:ind w:firstLineChars="200" w:firstLine="640"/>
        <w:rPr>
          <w:rFonts w:ascii="Times New Roman" w:eastAsia="黑体" w:hAnsi="Times New Roman"/>
          <w:color w:val="000000" w:themeColor="text1"/>
          <w:sz w:val="28"/>
          <w:szCs w:val="28"/>
        </w:rPr>
      </w:pPr>
      <w:r>
        <w:rPr>
          <w:rFonts w:ascii="Times New Roman" w:eastAsia="黑体" w:hAnsi="Times New Roman"/>
          <w:color w:val="000000" w:themeColor="text1"/>
          <w:sz w:val="32"/>
          <w:szCs w:val="32"/>
        </w:rPr>
        <w:lastRenderedPageBreak/>
        <w:t>五、技术依托单位</w:t>
      </w:r>
      <w:r>
        <w:rPr>
          <w:rFonts w:ascii="Times New Roman" w:eastAsia="黑体" w:hAnsi="Times New Roman" w:hint="eastAsia"/>
          <w:color w:val="000000" w:themeColor="text1"/>
          <w:sz w:val="28"/>
          <w:szCs w:val="28"/>
        </w:rPr>
        <w:t>（须与汇总表所填数量、单位一致，需列入参与技术推广的各级国家农技推广机构）</w:t>
      </w:r>
    </w:p>
    <w:p w:rsidR="00D13F86" w:rsidRDefault="00FC54D8">
      <w:pPr>
        <w:pStyle w:val="a5"/>
        <w:ind w:left="640" w:firstLineChars="0" w:firstLine="0"/>
        <w:rPr>
          <w:rFonts w:ascii="仿宋_GB2312" w:eastAsia="仿宋_GB2312" w:hAnsi="仿宋_GB2312" w:cs="仿宋_GB2312"/>
          <w:b/>
          <w:bCs/>
          <w:color w:val="000000"/>
          <w:kern w:val="2"/>
          <w:sz w:val="32"/>
          <w:szCs w:val="32"/>
        </w:rPr>
      </w:pPr>
      <w:r>
        <w:rPr>
          <w:rFonts w:ascii="仿宋_GB2312" w:eastAsia="仿宋_GB2312" w:hAnsi="仿宋_GB2312" w:cs="仿宋_GB2312" w:hint="eastAsia"/>
          <w:b/>
          <w:bCs/>
          <w:color w:val="000000"/>
          <w:kern w:val="2"/>
          <w:sz w:val="32"/>
          <w:szCs w:val="32"/>
        </w:rPr>
        <w:t>1.</w:t>
      </w:r>
      <w:r>
        <w:rPr>
          <w:rFonts w:ascii="仿宋_GB2312" w:eastAsia="仿宋_GB2312" w:hAnsi="仿宋_GB2312" w:cs="仿宋_GB2312" w:hint="eastAsia"/>
          <w:b/>
          <w:bCs/>
          <w:color w:val="000000"/>
          <w:kern w:val="2"/>
          <w:sz w:val="32"/>
          <w:szCs w:val="32"/>
        </w:rPr>
        <w:t>江西省农业技术推广中心</w:t>
      </w:r>
    </w:p>
    <w:p w:rsidR="00D13F86" w:rsidRDefault="00FC54D8">
      <w:pPr>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color w:val="000000"/>
          <w:sz w:val="32"/>
          <w:szCs w:val="32"/>
        </w:rPr>
        <w:t>联系地址：江西省南昌市</w:t>
      </w:r>
      <w:r>
        <w:rPr>
          <w:rFonts w:ascii="仿宋_GB2312" w:eastAsia="仿宋_GB2312" w:hAnsi="仿宋_GB2312" w:cs="仿宋_GB2312" w:hint="eastAsia"/>
          <w:color w:val="000000"/>
          <w:sz w:val="32"/>
          <w:szCs w:val="32"/>
        </w:rPr>
        <w:t>文教路</w:t>
      </w:r>
      <w:r>
        <w:rPr>
          <w:rFonts w:ascii="仿宋_GB2312" w:eastAsia="仿宋_GB2312" w:hAnsi="仿宋_GB2312" w:cs="仿宋_GB2312" w:hint="eastAsia"/>
          <w:color w:val="000000"/>
          <w:sz w:val="32"/>
          <w:szCs w:val="32"/>
        </w:rPr>
        <w:t>359</w:t>
      </w:r>
      <w:r>
        <w:rPr>
          <w:rFonts w:ascii="仿宋_GB2312" w:eastAsia="仿宋_GB2312" w:hAnsi="仿宋_GB2312" w:cs="仿宋_GB2312" w:hint="eastAsia"/>
          <w:color w:val="000000"/>
          <w:sz w:val="32"/>
          <w:szCs w:val="32"/>
        </w:rPr>
        <w:t>号</w:t>
      </w:r>
    </w:p>
    <w:p w:rsidR="00D13F86" w:rsidRDefault="00FC54D8">
      <w:pPr>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color w:val="000000"/>
          <w:sz w:val="32"/>
          <w:szCs w:val="32"/>
        </w:rPr>
        <w:t>邮政编码：</w:t>
      </w:r>
      <w:r>
        <w:rPr>
          <w:rFonts w:ascii="仿宋_GB2312" w:eastAsia="仿宋_GB2312" w:hAnsi="仿宋_GB2312" w:cs="仿宋_GB2312"/>
          <w:color w:val="000000"/>
          <w:sz w:val="32"/>
          <w:szCs w:val="32"/>
        </w:rPr>
        <w:t xml:space="preserve">330046 </w:t>
      </w:r>
    </w:p>
    <w:p w:rsidR="00D13F86" w:rsidRDefault="00FC54D8">
      <w:pPr>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color w:val="000000"/>
          <w:sz w:val="32"/>
          <w:szCs w:val="32"/>
        </w:rPr>
        <w:t>联</w:t>
      </w:r>
      <w:r>
        <w:rPr>
          <w:rFonts w:ascii="仿宋_GB2312" w:eastAsia="仿宋_GB2312" w:hAnsi="仿宋_GB2312" w:cs="仿宋_GB2312"/>
          <w:color w:val="000000"/>
          <w:sz w:val="32"/>
          <w:szCs w:val="32"/>
        </w:rPr>
        <w:t xml:space="preserve"> </w:t>
      </w:r>
      <w:r>
        <w:rPr>
          <w:rFonts w:ascii="仿宋_GB2312" w:eastAsia="仿宋_GB2312" w:hAnsi="仿宋_GB2312" w:cs="仿宋_GB2312"/>
          <w:color w:val="000000"/>
          <w:sz w:val="32"/>
          <w:szCs w:val="32"/>
        </w:rPr>
        <w:t>系</w:t>
      </w:r>
      <w:r>
        <w:rPr>
          <w:rFonts w:ascii="仿宋_GB2312" w:eastAsia="仿宋_GB2312" w:hAnsi="仿宋_GB2312" w:cs="仿宋_GB2312"/>
          <w:color w:val="000000"/>
          <w:sz w:val="32"/>
          <w:szCs w:val="32"/>
        </w:rPr>
        <w:t xml:space="preserve"> </w:t>
      </w:r>
      <w:r>
        <w:rPr>
          <w:rFonts w:ascii="仿宋_GB2312" w:eastAsia="仿宋_GB2312" w:hAnsi="仿宋_GB2312" w:cs="仿宋_GB2312"/>
          <w:color w:val="000000"/>
          <w:sz w:val="32"/>
          <w:szCs w:val="32"/>
        </w:rPr>
        <w:t>人：</w:t>
      </w:r>
      <w:r>
        <w:rPr>
          <w:rFonts w:ascii="仿宋_GB2312" w:eastAsia="仿宋_GB2312" w:hAnsi="仿宋_GB2312" w:cs="仿宋_GB2312" w:hint="eastAsia"/>
          <w:color w:val="000000"/>
          <w:sz w:val="32"/>
          <w:szCs w:val="32"/>
        </w:rPr>
        <w:t>郭丽虹</w:t>
      </w:r>
    </w:p>
    <w:p w:rsidR="00D13F86" w:rsidRDefault="00FC54D8">
      <w:pPr>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color w:val="000000"/>
          <w:sz w:val="32"/>
          <w:szCs w:val="32"/>
        </w:rPr>
        <w:t>联系电话：</w:t>
      </w:r>
      <w:r>
        <w:rPr>
          <w:rFonts w:ascii="仿宋_GB2312" w:eastAsia="仿宋_GB2312" w:hAnsi="仿宋_GB2312" w:cs="仿宋_GB2312" w:hint="eastAsia"/>
          <w:color w:val="000000"/>
          <w:sz w:val="32"/>
          <w:szCs w:val="32"/>
        </w:rPr>
        <w:t>17379196793</w:t>
      </w:r>
    </w:p>
    <w:p w:rsidR="00D13F86" w:rsidRDefault="00FC54D8">
      <w:pPr>
        <w:pStyle w:val="a5"/>
        <w:ind w:firstLine="640"/>
        <w:rPr>
          <w:rFonts w:ascii="仿宋_GB2312" w:eastAsia="仿宋_GB2312" w:hAnsi="仿宋_GB2312" w:cs="仿宋_GB2312"/>
          <w:color w:val="000000"/>
          <w:kern w:val="2"/>
          <w:sz w:val="32"/>
          <w:szCs w:val="32"/>
        </w:rPr>
      </w:pPr>
      <w:r>
        <w:rPr>
          <w:rFonts w:ascii="仿宋_GB2312" w:eastAsia="仿宋_GB2312" w:hAnsi="仿宋_GB2312" w:cs="仿宋_GB2312"/>
          <w:color w:val="000000"/>
          <w:kern w:val="2"/>
          <w:sz w:val="32"/>
          <w:szCs w:val="32"/>
        </w:rPr>
        <w:t>电子信箱：</w:t>
      </w:r>
      <w:r>
        <w:rPr>
          <w:rFonts w:ascii="仿宋_GB2312" w:eastAsia="仿宋_GB2312" w:hAnsi="仿宋_GB2312" w:cs="仿宋_GB2312" w:hint="eastAsia"/>
          <w:color w:val="000000"/>
          <w:kern w:val="2"/>
          <w:sz w:val="32"/>
          <w:szCs w:val="32"/>
        </w:rPr>
        <w:t>5459574@qq.com</w:t>
      </w:r>
    </w:p>
    <w:p w:rsidR="00D13F86" w:rsidRDefault="00FC54D8">
      <w:pPr>
        <w:pStyle w:val="a5"/>
        <w:ind w:left="640" w:firstLineChars="0" w:firstLine="0"/>
        <w:rPr>
          <w:rFonts w:ascii="仿宋_GB2312" w:eastAsia="仿宋_GB2312" w:hAnsi="仿宋_GB2312" w:cs="仿宋_GB2312"/>
          <w:b/>
          <w:bCs/>
          <w:color w:val="000000"/>
          <w:kern w:val="2"/>
          <w:sz w:val="32"/>
          <w:szCs w:val="32"/>
        </w:rPr>
      </w:pPr>
      <w:r>
        <w:rPr>
          <w:rFonts w:ascii="仿宋_GB2312" w:eastAsia="仿宋_GB2312" w:hAnsi="仿宋_GB2312" w:cs="仿宋_GB2312" w:hint="eastAsia"/>
          <w:b/>
          <w:bCs/>
          <w:color w:val="000000"/>
          <w:kern w:val="2"/>
          <w:sz w:val="32"/>
          <w:szCs w:val="32"/>
        </w:rPr>
        <w:t>2.</w:t>
      </w:r>
      <w:r>
        <w:rPr>
          <w:rFonts w:ascii="仿宋_GB2312" w:eastAsia="仿宋_GB2312" w:hAnsi="仿宋_GB2312" w:cs="仿宋_GB2312" w:hint="eastAsia"/>
          <w:b/>
          <w:bCs/>
          <w:color w:val="000000"/>
          <w:kern w:val="2"/>
          <w:sz w:val="32"/>
          <w:szCs w:val="32"/>
        </w:rPr>
        <w:t>宁都县农业技术推广中心</w:t>
      </w:r>
    </w:p>
    <w:p w:rsidR="00D13F86" w:rsidRDefault="00FC54D8">
      <w:pPr>
        <w:pStyle w:val="a5"/>
        <w:ind w:firstLine="640"/>
        <w:rPr>
          <w:rFonts w:ascii="仿宋_GB2312" w:eastAsia="仿宋_GB2312" w:hAnsi="仿宋_GB2312" w:cs="仿宋_GB2312"/>
          <w:color w:val="000000"/>
          <w:kern w:val="2"/>
          <w:sz w:val="32"/>
          <w:szCs w:val="32"/>
        </w:rPr>
      </w:pPr>
      <w:r>
        <w:rPr>
          <w:rFonts w:ascii="仿宋_GB2312" w:eastAsia="仿宋_GB2312" w:hAnsi="仿宋_GB2312" w:cs="仿宋_GB2312"/>
          <w:color w:val="000000"/>
          <w:kern w:val="2"/>
          <w:sz w:val="32"/>
          <w:szCs w:val="32"/>
        </w:rPr>
        <w:t>联系地址：</w:t>
      </w:r>
      <w:r>
        <w:rPr>
          <w:rFonts w:ascii="仿宋_GB2312" w:eastAsia="仿宋_GB2312" w:hAnsi="仿宋_GB2312" w:cs="仿宋_GB2312" w:hint="eastAsia"/>
          <w:color w:val="000000"/>
          <w:kern w:val="2"/>
          <w:sz w:val="32"/>
          <w:szCs w:val="32"/>
        </w:rPr>
        <w:t>赣州市宁都县博生西路</w:t>
      </w:r>
      <w:r>
        <w:rPr>
          <w:rFonts w:ascii="仿宋_GB2312" w:eastAsia="仿宋_GB2312" w:hAnsi="仿宋_GB2312" w:cs="仿宋_GB2312" w:hint="eastAsia"/>
          <w:color w:val="000000"/>
          <w:kern w:val="2"/>
          <w:sz w:val="32"/>
          <w:szCs w:val="32"/>
        </w:rPr>
        <w:t>35</w:t>
      </w:r>
      <w:r>
        <w:rPr>
          <w:rFonts w:ascii="仿宋_GB2312" w:eastAsia="仿宋_GB2312" w:hAnsi="仿宋_GB2312" w:cs="仿宋_GB2312" w:hint="eastAsia"/>
          <w:color w:val="000000"/>
          <w:kern w:val="2"/>
          <w:sz w:val="32"/>
          <w:szCs w:val="32"/>
        </w:rPr>
        <w:t>号</w:t>
      </w:r>
    </w:p>
    <w:p w:rsidR="00D13F86" w:rsidRDefault="00FC54D8">
      <w:pPr>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color w:val="000000"/>
          <w:sz w:val="32"/>
          <w:szCs w:val="32"/>
        </w:rPr>
        <w:t>邮政编码：</w:t>
      </w:r>
      <w:r>
        <w:rPr>
          <w:rFonts w:ascii="仿宋_GB2312" w:eastAsia="仿宋_GB2312" w:hAnsi="仿宋_GB2312" w:cs="仿宋_GB2312"/>
          <w:color w:val="000000"/>
          <w:sz w:val="32"/>
          <w:szCs w:val="32"/>
        </w:rPr>
        <w:t xml:space="preserve">330046 </w:t>
      </w:r>
    </w:p>
    <w:p w:rsidR="00D13F86" w:rsidRDefault="00FC54D8">
      <w:pPr>
        <w:pStyle w:val="a5"/>
        <w:ind w:firstLine="640"/>
        <w:rPr>
          <w:rFonts w:ascii="仿宋_GB2312" w:eastAsia="仿宋_GB2312" w:hAnsi="仿宋_GB2312" w:cs="仿宋_GB2312"/>
          <w:color w:val="000000"/>
          <w:kern w:val="2"/>
          <w:sz w:val="32"/>
          <w:szCs w:val="32"/>
        </w:rPr>
      </w:pPr>
      <w:r>
        <w:rPr>
          <w:rFonts w:ascii="仿宋_GB2312" w:eastAsia="仿宋_GB2312" w:hAnsi="仿宋_GB2312" w:cs="仿宋_GB2312"/>
          <w:color w:val="000000"/>
          <w:kern w:val="2"/>
          <w:sz w:val="32"/>
          <w:szCs w:val="32"/>
        </w:rPr>
        <w:t>联</w:t>
      </w:r>
      <w:r>
        <w:rPr>
          <w:rFonts w:ascii="仿宋_GB2312" w:eastAsia="仿宋_GB2312" w:hAnsi="仿宋_GB2312" w:cs="仿宋_GB2312"/>
          <w:color w:val="000000"/>
          <w:kern w:val="2"/>
          <w:sz w:val="32"/>
          <w:szCs w:val="32"/>
        </w:rPr>
        <w:t xml:space="preserve"> </w:t>
      </w:r>
      <w:r>
        <w:rPr>
          <w:rFonts w:ascii="仿宋_GB2312" w:eastAsia="仿宋_GB2312" w:hAnsi="仿宋_GB2312" w:cs="仿宋_GB2312"/>
          <w:color w:val="000000"/>
          <w:kern w:val="2"/>
          <w:sz w:val="32"/>
          <w:szCs w:val="32"/>
        </w:rPr>
        <w:t>系</w:t>
      </w:r>
      <w:r>
        <w:rPr>
          <w:rFonts w:ascii="仿宋_GB2312" w:eastAsia="仿宋_GB2312" w:hAnsi="仿宋_GB2312" w:cs="仿宋_GB2312"/>
          <w:color w:val="000000"/>
          <w:kern w:val="2"/>
          <w:sz w:val="32"/>
          <w:szCs w:val="32"/>
        </w:rPr>
        <w:t xml:space="preserve"> </w:t>
      </w:r>
      <w:r>
        <w:rPr>
          <w:rFonts w:ascii="仿宋_GB2312" w:eastAsia="仿宋_GB2312" w:hAnsi="仿宋_GB2312" w:cs="仿宋_GB2312"/>
          <w:color w:val="000000"/>
          <w:kern w:val="2"/>
          <w:sz w:val="32"/>
          <w:szCs w:val="32"/>
        </w:rPr>
        <w:t>人：</w:t>
      </w:r>
      <w:r>
        <w:rPr>
          <w:rFonts w:ascii="仿宋_GB2312" w:eastAsia="仿宋_GB2312" w:hAnsi="仿宋_GB2312" w:cs="仿宋_GB2312" w:hint="eastAsia"/>
          <w:color w:val="000000"/>
          <w:kern w:val="2"/>
          <w:sz w:val="32"/>
          <w:szCs w:val="32"/>
        </w:rPr>
        <w:t>李雄</w:t>
      </w:r>
      <w:r>
        <w:rPr>
          <w:rFonts w:ascii="仿宋_GB2312" w:eastAsia="仿宋_GB2312" w:hAnsi="仿宋_GB2312" w:cs="仿宋_GB2312" w:hint="eastAsia"/>
          <w:color w:val="000000"/>
          <w:kern w:val="2"/>
          <w:sz w:val="32"/>
          <w:szCs w:val="32"/>
        </w:rPr>
        <w:t xml:space="preserve"> </w:t>
      </w:r>
    </w:p>
    <w:p w:rsidR="00D13F86" w:rsidRDefault="00FC54D8">
      <w:pPr>
        <w:pStyle w:val="a5"/>
        <w:ind w:firstLine="640"/>
        <w:rPr>
          <w:rFonts w:ascii="仿宋_GB2312" w:eastAsia="仿宋_GB2312" w:hAnsi="仿宋_GB2312" w:cs="仿宋_GB2312"/>
          <w:color w:val="000000"/>
          <w:kern w:val="2"/>
          <w:sz w:val="32"/>
          <w:szCs w:val="32"/>
        </w:rPr>
      </w:pPr>
      <w:r>
        <w:rPr>
          <w:rFonts w:ascii="仿宋_GB2312" w:eastAsia="仿宋_GB2312" w:hAnsi="仿宋_GB2312" w:cs="仿宋_GB2312"/>
          <w:color w:val="000000"/>
          <w:kern w:val="2"/>
          <w:sz w:val="32"/>
          <w:szCs w:val="32"/>
        </w:rPr>
        <w:t>联系电话：</w:t>
      </w:r>
      <w:r>
        <w:rPr>
          <w:rFonts w:ascii="仿宋_GB2312" w:eastAsia="仿宋_GB2312" w:hAnsi="仿宋_GB2312" w:cs="仿宋_GB2312"/>
          <w:color w:val="000000"/>
          <w:kern w:val="2"/>
          <w:sz w:val="32"/>
          <w:szCs w:val="32"/>
        </w:rPr>
        <w:t>13879779352</w:t>
      </w:r>
    </w:p>
    <w:p w:rsidR="00D13F86" w:rsidRDefault="00FC54D8">
      <w:pPr>
        <w:pStyle w:val="a5"/>
        <w:ind w:firstLine="640"/>
        <w:rPr>
          <w:rFonts w:ascii="仿宋_GB2312" w:eastAsia="仿宋_GB2312" w:hAnsi="仿宋_GB2312" w:cs="仿宋_GB2312"/>
          <w:color w:val="000000"/>
          <w:kern w:val="2"/>
          <w:sz w:val="32"/>
          <w:szCs w:val="32"/>
        </w:rPr>
      </w:pPr>
      <w:r>
        <w:rPr>
          <w:rFonts w:ascii="仿宋_GB2312" w:eastAsia="仿宋_GB2312" w:hAnsi="仿宋_GB2312" w:cs="仿宋_GB2312"/>
          <w:color w:val="000000"/>
          <w:kern w:val="2"/>
          <w:sz w:val="32"/>
          <w:szCs w:val="32"/>
        </w:rPr>
        <w:t>电子信箱：</w:t>
      </w:r>
      <w:r>
        <w:rPr>
          <w:rFonts w:ascii="仿宋_GB2312" w:eastAsia="仿宋_GB2312" w:hAnsi="仿宋_GB2312" w:cs="仿宋_GB2312" w:hint="eastAsia"/>
          <w:color w:val="000000"/>
          <w:kern w:val="2"/>
          <w:sz w:val="32"/>
          <w:szCs w:val="32"/>
        </w:rPr>
        <w:t>308401218@qq.com</w:t>
      </w:r>
    </w:p>
    <w:p w:rsidR="00D13F86" w:rsidRDefault="00FC54D8">
      <w:pPr>
        <w:pStyle w:val="a5"/>
        <w:ind w:left="640" w:firstLineChars="0" w:firstLine="0"/>
        <w:rPr>
          <w:rFonts w:ascii="仿宋_GB2312" w:eastAsia="仿宋_GB2312" w:hAnsi="仿宋_GB2312" w:cs="仿宋_GB2312"/>
          <w:b/>
          <w:bCs/>
          <w:color w:val="000000"/>
          <w:kern w:val="2"/>
          <w:sz w:val="32"/>
          <w:szCs w:val="32"/>
        </w:rPr>
      </w:pPr>
      <w:r>
        <w:rPr>
          <w:rFonts w:ascii="仿宋_GB2312" w:eastAsia="仿宋_GB2312" w:hAnsi="仿宋_GB2312" w:cs="仿宋_GB2312" w:hint="eastAsia"/>
          <w:b/>
          <w:bCs/>
          <w:color w:val="000000"/>
          <w:kern w:val="2"/>
          <w:sz w:val="32"/>
          <w:szCs w:val="32"/>
        </w:rPr>
        <w:t>3.</w:t>
      </w:r>
      <w:r>
        <w:rPr>
          <w:rFonts w:ascii="仿宋_GB2312" w:eastAsia="仿宋_GB2312" w:hAnsi="仿宋_GB2312" w:cs="仿宋_GB2312" w:hint="eastAsia"/>
          <w:b/>
          <w:bCs/>
          <w:color w:val="000000"/>
          <w:kern w:val="2"/>
          <w:sz w:val="32"/>
          <w:szCs w:val="32"/>
        </w:rPr>
        <w:t>赣州市农业农村局</w:t>
      </w:r>
    </w:p>
    <w:p w:rsidR="00D13F86" w:rsidRDefault="00FC54D8">
      <w:pPr>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联系地址：赣州市章贡区章江北大道</w:t>
      </w:r>
      <w:r>
        <w:rPr>
          <w:rFonts w:ascii="仿宋_GB2312" w:eastAsia="仿宋_GB2312" w:hAnsi="仿宋_GB2312" w:cs="仿宋_GB2312" w:hint="eastAsia"/>
          <w:color w:val="000000"/>
          <w:sz w:val="32"/>
          <w:szCs w:val="32"/>
        </w:rPr>
        <w:t>110</w:t>
      </w:r>
      <w:r>
        <w:rPr>
          <w:rFonts w:ascii="仿宋_GB2312" w:eastAsia="仿宋_GB2312" w:hAnsi="仿宋_GB2312" w:cs="仿宋_GB2312" w:hint="eastAsia"/>
          <w:color w:val="000000"/>
          <w:sz w:val="32"/>
          <w:szCs w:val="32"/>
        </w:rPr>
        <w:t>号</w:t>
      </w:r>
    </w:p>
    <w:p w:rsidR="00D13F86" w:rsidRDefault="00FC54D8">
      <w:pPr>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color w:val="000000"/>
          <w:sz w:val="32"/>
          <w:szCs w:val="32"/>
        </w:rPr>
        <w:t>邮政编码：</w:t>
      </w:r>
      <w:r>
        <w:rPr>
          <w:rFonts w:ascii="仿宋_GB2312" w:eastAsia="仿宋_GB2312" w:hAnsi="仿宋_GB2312" w:cs="仿宋_GB2312"/>
          <w:color w:val="000000"/>
          <w:sz w:val="32"/>
          <w:szCs w:val="32"/>
        </w:rPr>
        <w:t>3</w:t>
      </w:r>
      <w:r>
        <w:rPr>
          <w:rFonts w:ascii="仿宋_GB2312" w:eastAsia="仿宋_GB2312" w:hAnsi="仿宋_GB2312" w:cs="仿宋_GB2312" w:hint="eastAsia"/>
          <w:color w:val="000000"/>
          <w:sz w:val="32"/>
          <w:szCs w:val="32"/>
        </w:rPr>
        <w:t>41000</w:t>
      </w:r>
    </w:p>
    <w:p w:rsidR="00D13F86" w:rsidRDefault="00FC54D8">
      <w:pPr>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color w:val="000000"/>
          <w:sz w:val="32"/>
          <w:szCs w:val="32"/>
        </w:rPr>
        <w:t>联</w:t>
      </w:r>
      <w:r>
        <w:rPr>
          <w:rFonts w:ascii="仿宋_GB2312" w:eastAsia="仿宋_GB2312" w:hAnsi="仿宋_GB2312" w:cs="仿宋_GB2312"/>
          <w:color w:val="000000"/>
          <w:sz w:val="32"/>
          <w:szCs w:val="32"/>
        </w:rPr>
        <w:t xml:space="preserve"> </w:t>
      </w:r>
      <w:r>
        <w:rPr>
          <w:rFonts w:ascii="仿宋_GB2312" w:eastAsia="仿宋_GB2312" w:hAnsi="仿宋_GB2312" w:cs="仿宋_GB2312"/>
          <w:color w:val="000000"/>
          <w:sz w:val="32"/>
          <w:szCs w:val="32"/>
        </w:rPr>
        <w:t>系</w:t>
      </w:r>
      <w:r>
        <w:rPr>
          <w:rFonts w:ascii="仿宋_GB2312" w:eastAsia="仿宋_GB2312" w:hAnsi="仿宋_GB2312" w:cs="仿宋_GB2312"/>
          <w:color w:val="000000"/>
          <w:sz w:val="32"/>
          <w:szCs w:val="32"/>
        </w:rPr>
        <w:t xml:space="preserve"> </w:t>
      </w:r>
      <w:r>
        <w:rPr>
          <w:rFonts w:ascii="仿宋_GB2312" w:eastAsia="仿宋_GB2312" w:hAnsi="仿宋_GB2312" w:cs="仿宋_GB2312"/>
          <w:color w:val="000000"/>
          <w:sz w:val="32"/>
          <w:szCs w:val="32"/>
        </w:rPr>
        <w:t>人：</w:t>
      </w:r>
      <w:r>
        <w:rPr>
          <w:rFonts w:ascii="仿宋_GB2312" w:eastAsia="仿宋_GB2312" w:hAnsi="仿宋_GB2312" w:cs="仿宋_GB2312" w:hint="eastAsia"/>
          <w:color w:val="000000"/>
          <w:sz w:val="32"/>
          <w:szCs w:val="32"/>
        </w:rPr>
        <w:t>何庭发</w:t>
      </w:r>
    </w:p>
    <w:p w:rsidR="00D13F86" w:rsidRDefault="00FC54D8">
      <w:pPr>
        <w:pStyle w:val="a5"/>
        <w:ind w:firstLine="640"/>
        <w:rPr>
          <w:rFonts w:ascii="仿宋_GB2312" w:eastAsia="仿宋_GB2312" w:hAnsi="仿宋_GB2312" w:cs="仿宋_GB2312"/>
          <w:color w:val="000000"/>
          <w:kern w:val="2"/>
          <w:sz w:val="32"/>
          <w:szCs w:val="32"/>
        </w:rPr>
      </w:pPr>
      <w:r>
        <w:rPr>
          <w:rFonts w:ascii="仿宋_GB2312" w:eastAsia="仿宋_GB2312" w:hAnsi="仿宋_GB2312" w:cs="仿宋_GB2312"/>
          <w:color w:val="000000"/>
          <w:kern w:val="2"/>
          <w:sz w:val="32"/>
          <w:szCs w:val="32"/>
        </w:rPr>
        <w:t>联系电话：</w:t>
      </w:r>
      <w:r>
        <w:rPr>
          <w:rFonts w:ascii="仿宋_GB2312" w:eastAsia="仿宋_GB2312" w:hAnsi="仿宋_GB2312" w:cs="仿宋_GB2312" w:hint="eastAsia"/>
          <w:color w:val="000000"/>
          <w:kern w:val="2"/>
          <w:sz w:val="32"/>
          <w:szCs w:val="32"/>
        </w:rPr>
        <w:t>13807978175</w:t>
      </w:r>
    </w:p>
    <w:p w:rsidR="00D13F86" w:rsidRDefault="00FC54D8">
      <w:pPr>
        <w:pStyle w:val="a5"/>
        <w:ind w:firstLine="640"/>
        <w:rPr>
          <w:rFonts w:ascii="仿宋_GB2312" w:eastAsia="仿宋_GB2312" w:hAnsi="仿宋_GB2312" w:cs="仿宋_GB2312"/>
          <w:color w:val="000000"/>
          <w:kern w:val="2"/>
          <w:sz w:val="32"/>
          <w:szCs w:val="32"/>
        </w:rPr>
      </w:pPr>
      <w:r>
        <w:rPr>
          <w:rFonts w:ascii="仿宋_GB2312" w:eastAsia="仿宋_GB2312" w:hAnsi="仿宋_GB2312" w:cs="仿宋_GB2312"/>
          <w:color w:val="000000"/>
          <w:kern w:val="2"/>
          <w:sz w:val="32"/>
          <w:szCs w:val="32"/>
        </w:rPr>
        <w:t>电子信箱：</w:t>
      </w:r>
      <w:r>
        <w:rPr>
          <w:rFonts w:ascii="仿宋_GB2312" w:eastAsia="仿宋_GB2312" w:hAnsi="仿宋_GB2312" w:cs="仿宋_GB2312" w:hint="eastAsia"/>
          <w:color w:val="000000"/>
          <w:kern w:val="2"/>
          <w:sz w:val="32"/>
          <w:szCs w:val="32"/>
        </w:rPr>
        <w:t>7327823@qq.com</w:t>
      </w:r>
    </w:p>
    <w:p w:rsidR="00D13F86" w:rsidRDefault="00D13F86">
      <w:pPr>
        <w:pStyle w:val="a5"/>
        <w:ind w:firstLineChars="300" w:firstLine="840"/>
        <w:rPr>
          <w:rFonts w:ascii="仿宋" w:eastAsia="仿宋" w:hAnsi="仿宋" w:cs="仿宋"/>
          <w:bCs/>
          <w:sz w:val="28"/>
          <w:szCs w:val="28"/>
          <w:lang w:bidi="ar"/>
        </w:rPr>
      </w:pPr>
    </w:p>
    <w:p w:rsidR="00D13F86" w:rsidRDefault="00D13F86">
      <w:pPr>
        <w:adjustRightInd w:val="0"/>
        <w:snapToGrid w:val="0"/>
        <w:spacing w:line="360" w:lineRule="auto"/>
        <w:ind w:firstLineChars="200" w:firstLine="560"/>
        <w:rPr>
          <w:rFonts w:ascii="仿宋_GB2312" w:eastAsia="仿宋_GB2312" w:hAnsi="仿宋_GB2312" w:cs="仿宋_GB2312"/>
          <w:sz w:val="28"/>
          <w:szCs w:val="28"/>
          <w:highlight w:val="yellow"/>
        </w:rPr>
      </w:pPr>
    </w:p>
    <w:p w:rsidR="00D13F86" w:rsidRDefault="00D13F86">
      <w:pPr>
        <w:adjustRightInd w:val="0"/>
        <w:snapToGrid w:val="0"/>
        <w:spacing w:line="360" w:lineRule="auto"/>
        <w:rPr>
          <w:rFonts w:ascii="仿宋_GB2312" w:eastAsia="仿宋_GB2312" w:hAnsi="仿宋_GB2312" w:cs="仿宋_GB2312"/>
          <w:sz w:val="28"/>
          <w:szCs w:val="28"/>
          <w:highlight w:val="yellow"/>
        </w:rPr>
      </w:pPr>
    </w:p>
    <w:sectPr w:rsidR="00D13F86">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4D8" w:rsidRDefault="00FC54D8">
      <w:r>
        <w:separator/>
      </w:r>
    </w:p>
  </w:endnote>
  <w:endnote w:type="continuationSeparator" w:id="0">
    <w:p w:rsidR="00FC54D8" w:rsidRDefault="00FC5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003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292654"/>
    </w:sdtPr>
    <w:sdtEndPr>
      <w:rPr>
        <w:rFonts w:ascii="Times New Roman" w:hAnsi="Times New Roman" w:cs="Times New Roman"/>
      </w:rPr>
    </w:sdtEndPr>
    <w:sdtContent>
      <w:p w:rsidR="00D13F86" w:rsidRDefault="00FC54D8">
        <w:pPr>
          <w:pStyle w:val="a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6</w:t>
        </w:r>
        <w:r>
          <w:rPr>
            <w:rFonts w:ascii="Times New Roman" w:hAnsi="Times New Roman" w:cs="Times New Roman"/>
          </w:rPr>
          <w:fldChar w:fldCharType="end"/>
        </w:r>
      </w:p>
    </w:sdtContent>
  </w:sdt>
  <w:p w:rsidR="00D13F86" w:rsidRDefault="00D13F8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4D8" w:rsidRDefault="00FC54D8">
      <w:r>
        <w:separator/>
      </w:r>
    </w:p>
  </w:footnote>
  <w:footnote w:type="continuationSeparator" w:id="0">
    <w:p w:rsidR="00FC54D8" w:rsidRDefault="00FC54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AwZGVjMGZhN2U3ZWEyNDA4OTY3MTA4NTE5NzUyZDUifQ=="/>
  </w:docVars>
  <w:rsids>
    <w:rsidRoot w:val="4C553B65"/>
    <w:rsid w:val="00792B61"/>
    <w:rsid w:val="00D13F86"/>
    <w:rsid w:val="00FC54D8"/>
    <w:rsid w:val="24DA7EDB"/>
    <w:rsid w:val="2C743B86"/>
    <w:rsid w:val="4C553B65"/>
    <w:rsid w:val="612A3094"/>
    <w:rsid w:val="6E0B212F"/>
    <w:rsid w:val="746934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FE428C1"/>
  <w15:docId w15:val="{AD489356-3E64-4426-B21B-A7ACE7F17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BodyText2"/>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2">
    <w:name w:val="BodyText2"/>
    <w:basedOn w:val="a"/>
    <w:qFormat/>
    <w:pPr>
      <w:spacing w:after="120"/>
      <w:ind w:firstLineChars="200" w:firstLine="420"/>
      <w:textAlignment w:val="baseline"/>
    </w:pPr>
    <w:rPr>
      <w:rFonts w:ascii="Times New Roman" w:eastAsia="仿宋_GB2312" w:hAnsi="Times New Roman"/>
      <w:sz w:val="30"/>
      <w:szCs w:val="24"/>
    </w:rPr>
  </w:style>
  <w:style w:type="paragraph" w:styleId="a3">
    <w:name w:val="Normal Indent"/>
    <w:basedOn w:val="a"/>
    <w:next w:val="a"/>
    <w:qFormat/>
    <w:pPr>
      <w:ind w:firstLineChars="200" w:firstLine="420"/>
    </w:pPr>
  </w:style>
  <w:style w:type="paragraph" w:styleId="a4">
    <w:name w:val="footer"/>
    <w:basedOn w:val="a"/>
    <w:uiPriority w:val="99"/>
    <w:unhideWhenUsed/>
    <w:qFormat/>
    <w:pPr>
      <w:tabs>
        <w:tab w:val="center" w:pos="4153"/>
        <w:tab w:val="right" w:pos="8306"/>
      </w:tabs>
      <w:snapToGrid w:val="0"/>
      <w:jc w:val="left"/>
    </w:pPr>
    <w:rPr>
      <w:sz w:val="18"/>
      <w:szCs w:val="18"/>
    </w:rPr>
  </w:style>
  <w:style w:type="paragraph" w:styleId="a5">
    <w:name w:val="List Paragraph"/>
    <w:basedOn w:val="a"/>
    <w:autoRedefine/>
    <w:uiPriority w:val="34"/>
    <w:qFormat/>
    <w:pPr>
      <w:widowControl/>
      <w:ind w:firstLineChars="200" w:firstLine="420"/>
      <w:jc w:val="left"/>
    </w:pPr>
    <w:rPr>
      <w:rFonts w:ascii="宋体" w:eastAsia="宋体" w:hAnsi="宋体" w:cs="宋体"/>
      <w:kern w:val="0"/>
      <w:sz w:val="24"/>
      <w:szCs w:val="24"/>
    </w:rPr>
  </w:style>
  <w:style w:type="paragraph" w:styleId="a6">
    <w:name w:val="header"/>
    <w:basedOn w:val="a"/>
    <w:link w:val="a7"/>
    <w:rsid w:val="00792B6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792B6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baike.baidu.com/item/%E6%B0%A7%E5%8C%96%E9%92%99"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858</Words>
  <Characters>4895</Characters>
  <Application>Microsoft Office Word</Application>
  <DocSecurity>0</DocSecurity>
  <Lines>40</Lines>
  <Paragraphs>11</Paragraphs>
  <ScaleCrop>false</ScaleCrop>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潘潘</cp:lastModifiedBy>
  <cp:revision>2</cp:revision>
  <dcterms:created xsi:type="dcterms:W3CDTF">2024-01-10T01:35:00Z</dcterms:created>
  <dcterms:modified xsi:type="dcterms:W3CDTF">2024-02-28T04:07:00Z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D536EA6D15444E99B0DF369122A5CF96_13</vt:lpwstr>
  </property>
</Properties>
</file>