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auto"/>
        <w:rPr>
          <w:rFonts w:hint="eastAsia" w:ascii="宋体" w:hAnsi="宋体" w:eastAsia="宋体" w:cs="宋体"/>
          <w:b/>
          <w:bCs/>
          <w:sz w:val="18"/>
          <w:szCs w:val="18"/>
        </w:rPr>
      </w:pPr>
      <w:bookmarkStart w:id="0" w:name="_GoBack"/>
      <w:bookmarkEnd w:id="0"/>
      <w:r>
        <w:rPr>
          <w:rFonts w:hint="eastAsia" w:ascii="华文中宋" w:hAnsi="华文中宋" w:eastAsia="华文中宋" w:cs="Times New Roman"/>
          <w:b/>
          <w:bCs/>
          <w:color w:val="000000"/>
          <w:sz w:val="44"/>
          <w:szCs w:val="44"/>
          <w:lang w:eastAsia="zh-CN"/>
        </w:rPr>
        <w:t>江西省特色柑橘类提质增效</w:t>
      </w:r>
      <w:r>
        <w:rPr>
          <w:rFonts w:hint="eastAsia" w:ascii="华文中宋" w:hAnsi="华文中宋" w:eastAsia="华文中宋" w:cs="Times New Roman"/>
          <w:b/>
          <w:bCs/>
          <w:color w:val="000000"/>
          <w:sz w:val="44"/>
          <w:szCs w:val="44"/>
        </w:rPr>
        <w:t>栽培技术</w:t>
      </w:r>
    </w:p>
    <w:p>
      <w:pPr>
        <w:adjustRightInd w:val="0"/>
        <w:snapToGrid w:val="0"/>
        <w:spacing w:line="600" w:lineRule="exact"/>
        <w:ind w:firstLine="643" w:firstLineChars="200"/>
        <w:rPr>
          <w:rFonts w:ascii="Times New Roman" w:hAnsi="Times New Roman" w:eastAsia="黑体" w:cs="Times New Roman"/>
          <w:b/>
          <w:bCs/>
          <w:sz w:val="32"/>
          <w:szCs w:val="32"/>
        </w:rPr>
      </w:pPr>
    </w:p>
    <w:p>
      <w:pPr>
        <w:adjustRightInd w:val="0"/>
        <w:snapToGrid w:val="0"/>
        <w:spacing w:line="600" w:lineRule="exact"/>
        <w:ind w:firstLine="643" w:firstLineChars="200"/>
        <w:rPr>
          <w:rFonts w:ascii="Times New Roman" w:hAnsi="Times New Roman" w:eastAsia="黑体" w:cs="Times New Roman"/>
          <w:b/>
          <w:bCs/>
          <w:sz w:val="32"/>
          <w:szCs w:val="32"/>
        </w:rPr>
      </w:pPr>
      <w:r>
        <w:rPr>
          <w:rFonts w:ascii="Times New Roman" w:hAnsi="Times New Roman" w:eastAsia="黑体" w:cs="Times New Roman"/>
          <w:b/>
          <w:bCs/>
          <w:sz w:val="32"/>
          <w:szCs w:val="32"/>
        </w:rPr>
        <w:t>一、技术概述</w:t>
      </w:r>
    </w:p>
    <w:p>
      <w:pPr>
        <w:pStyle w:val="17"/>
        <w:spacing w:line="560" w:lineRule="exact"/>
        <w:ind w:firstLine="643"/>
        <w:rPr>
          <w:rFonts w:cs="Times New Roman"/>
        </w:rPr>
      </w:pPr>
      <w:r>
        <w:rPr>
          <w:rFonts w:cs="Times New Roman"/>
        </w:rPr>
        <w:t>（一）技术基本情况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江西是我国柑橘优势产区，是全国“赣南-湘南-桂北优质脐橙带”的核心区、南丰蜜桔特色柑橘主要基地和优质柚类的品种的集中产地。形成了“赣南脐橙”、“南丰蜜桔”优势产业集群效应，“新余蜜桔”、“广丰马家柚”、“井冈蜜柚”等特色柑橘竞相发展的格局。柑橘是我省第一大水果，柑橘栽培面积和产量均位居全国前列，在果蔬稳产保供上有重要作用，已成为我省农业结构调整和农民脱贫增收的重要产业。但受江西柑橘果园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化肥施用过量、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生态环境压力增大、柑橘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病虫害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危害、生产成本持续上升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鲜果季节性过剩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及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果品销售竞争加剧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等因素影响，传统追求连片规模型扩张、产量数量型增长和果园粗放型管理的模式，越来越不适应现代柑橘产业发展要求。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为解决以上柑橘产业面临的关键共性问题，推动柑橘产业高质量发展，提升柑橘产业综合经济效益，增加果农收入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。本技术通过柑橘园标准化生态建园、柑橘叶面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营养诊断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、果园绿肥间作、树体管理、病虫害绿色高效防控、水肥一体化等方面进行探索，总结形成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江西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省特色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柑橘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类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提质增效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栽培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技术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。通过该技术的推广和应用，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提高了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柑橘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园建园标准、果园管理技术及水平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提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升柑橘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果品品质和商品化率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，促进果农增产增收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。</w:t>
      </w:r>
    </w:p>
    <w:p>
      <w:pPr>
        <w:pStyle w:val="17"/>
        <w:spacing w:line="560" w:lineRule="exact"/>
        <w:ind w:firstLine="643"/>
        <w:rPr>
          <w:rFonts w:cs="Times New Roman"/>
        </w:rPr>
      </w:pPr>
      <w:r>
        <w:rPr>
          <w:rFonts w:cs="Times New Roman"/>
        </w:rPr>
        <w:t>（二）技术示范推广情况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default" w:ascii="仿宋_GB2312" w:hAnsi="仿宋_GB2312" w:eastAsia="仿宋_GB2312" w:cs="仿宋_GB2312"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该技术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已在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我省各特色柑橘主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产区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试行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推广，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2014-2022年，在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全省累计示范推广面积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超150万亩。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通过该技术辐射带动，果农的生态化、高品质化和省力轻简化栽培理念显著增强，对绿色、优质、高效栽培技术的掌握应用水平有了显著提升。</w:t>
      </w:r>
    </w:p>
    <w:p>
      <w:pPr>
        <w:pStyle w:val="17"/>
        <w:spacing w:line="560" w:lineRule="exact"/>
        <w:ind w:firstLine="643"/>
        <w:rPr>
          <w:rFonts w:cs="Times New Roman"/>
        </w:rPr>
      </w:pPr>
      <w:r>
        <w:rPr>
          <w:rFonts w:cs="Times New Roman"/>
        </w:rPr>
        <w:t>（三）提质增效情况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该技术通过生态建园，推广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zh-CN"/>
        </w:rPr>
        <w:t>杀虫灯、黄板、套袋、捕食螨防虫和生草栽培、水肥一体等生态栽培管理技术，橘园年平均减少打约次数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3-4次，亩均减少化肥投入达40元，有效地维护橘园生态平衡，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大大提高了果品品质和质量安全水平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。橘园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商品果率达到9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.0%以上，比实施前提高了8个百分点以上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每亩新增纯收益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超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500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元，亩均增产157.33公斤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产业增收效果明显。</w:t>
      </w:r>
    </w:p>
    <w:p>
      <w:pPr>
        <w:pStyle w:val="17"/>
        <w:spacing w:line="560" w:lineRule="exact"/>
        <w:ind w:firstLine="643"/>
        <w:rPr>
          <w:rFonts w:cs="Times New Roman"/>
        </w:rPr>
      </w:pPr>
      <w:r>
        <w:rPr>
          <w:rFonts w:cs="Times New Roman"/>
        </w:rPr>
        <w:t>（四）技术获奖情况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无</w:t>
      </w:r>
    </w:p>
    <w:p>
      <w:pPr>
        <w:adjustRightInd w:val="0"/>
        <w:snapToGrid w:val="0"/>
        <w:spacing w:line="600" w:lineRule="exact"/>
        <w:ind w:firstLine="643" w:firstLineChars="200"/>
        <w:rPr>
          <w:rFonts w:ascii="Times New Roman" w:hAnsi="Times New Roman" w:eastAsia="黑体" w:cs="Times New Roman"/>
          <w:b/>
          <w:bCs/>
          <w:sz w:val="32"/>
          <w:szCs w:val="32"/>
        </w:rPr>
      </w:pPr>
      <w:r>
        <w:rPr>
          <w:rFonts w:ascii="Times New Roman" w:hAnsi="Times New Roman" w:eastAsia="黑体" w:cs="Times New Roman"/>
          <w:b/>
          <w:bCs/>
          <w:sz w:val="32"/>
          <w:szCs w:val="32"/>
        </w:rPr>
        <w:t>二、技术要点</w:t>
      </w:r>
    </w:p>
    <w:p>
      <w:pPr>
        <w:adjustRightInd w:val="0"/>
        <w:snapToGrid w:val="0"/>
        <w:spacing w:line="600" w:lineRule="exact"/>
        <w:ind w:firstLine="562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1.柑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</w:rPr>
        <w:t>橘园标准化生态建园技术。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结合江西丘陵山区特点，在新开发柑橘园集成推广了“三山”布局（山顶戴帽、山腰种果、山底穿鞋）、“一带三沟”整地（即水平梯带、栽植沟、扩穴沟和梯田内壁沟）、“三大一免”栽植（大穴、大肥、无病毒大苗、3年幼树免修剪）和生态防护隔离的标准化生态建园技术模式。</w:t>
      </w:r>
    </w:p>
    <w:p>
      <w:pPr>
        <w:adjustRightInd w:val="0"/>
        <w:snapToGrid w:val="0"/>
        <w:spacing w:line="600" w:lineRule="exact"/>
        <w:ind w:firstLine="562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2.柑橘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</w:rPr>
        <w:t>叶片营养诊断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eastAsia="zh-CN"/>
        </w:rPr>
        <w:t>技术。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测定叶片的全氮、磷、钾、钙、镁、硫、铁、锰、铜、锌、硼、钼、氯含量，根据叶片各营养元素的含量来判断树体营养丰缺程度，按照“因缺补缺”原则及时补施肥料。</w:t>
      </w:r>
    </w:p>
    <w:p>
      <w:pPr>
        <w:adjustRightInd w:val="0"/>
        <w:snapToGrid w:val="0"/>
        <w:spacing w:line="600" w:lineRule="exact"/>
        <w:ind w:firstLine="562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</w:rPr>
        <w:t>橘园绿肥种植或自然生草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eastAsia="zh-CN"/>
        </w:rPr>
        <w:t>技术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树盘（树冠滴水线）外自然蓄留良性杂草，或人工种植适应性强、鲜草量大、矮秆、浅根性草种，在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果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园行间套种花生、大豆、紫云英（红花草）等豆科类作物对土壤进行培肥改良。采用的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技术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模式有：“秋种毛叶苕子+肥田萝卜，夏种豌豆/绿豆/豇豆等豆科绿肥”、“全年覆盖紫云英+肥田萝卜”、“自然生草”等。</w:t>
      </w:r>
    </w:p>
    <w:p>
      <w:pPr>
        <w:adjustRightInd w:val="0"/>
        <w:snapToGrid w:val="0"/>
        <w:spacing w:line="600" w:lineRule="exact"/>
        <w:ind w:firstLine="562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</w:rPr>
        <w:t>橘园水肥一体化技术。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在柑橘园中安装管道灌溉设施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，结合滴灌设施或塑料软管浇灌灌溉，达到以水促肥，实现水肥耦合，提高水肥利用效率和花芽质量，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结合果园滴灌时在灌溉水中加入尿素、硫酸钾等可溶性肥料，实现水肥同施，培优土壤，降低病害发生率，提高生产效率。</w:t>
      </w:r>
    </w:p>
    <w:p>
      <w:pPr>
        <w:adjustRightInd w:val="0"/>
        <w:snapToGrid w:val="0"/>
        <w:spacing w:line="600" w:lineRule="exact"/>
        <w:ind w:firstLine="562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eastAsia="zh-CN"/>
        </w:rPr>
        <w:t>柑橘轻简化树体管理技术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以“开天窗口”和“开门”大枝修剪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为主的省力化轻简化修剪方式进行树体管理，传统精细修剪每株成年大树耗时15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20分钟（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每亩用工2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3个），每株大树修剪时间仅为5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7分钟（每亩的大枝修剪用工0.3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0.5个）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，节省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生产成本投入，提高果品品质。</w:t>
      </w:r>
    </w:p>
    <w:p>
      <w:pPr>
        <w:adjustRightInd w:val="0"/>
        <w:snapToGrid w:val="0"/>
        <w:spacing w:line="600" w:lineRule="exact"/>
        <w:ind w:firstLine="562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</w:rPr>
        <w:t>病虫害绿色防控技术。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按照“预防为主，综合防治”的植保方针，认真做好病虫情的观测，推广绿色病虫害防控技术，推广园中点诱杀灯，树上挂黄板，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果品套袋，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树中悬挂性激素、糖醋液诱杀害虫；以虫治虫，即保护利用天敌，释放捕食螨等控制虫害。严格遵守绿色柑橘生产的农药使用规程。优先使用植物源和矿物源农药。</w:t>
      </w:r>
    </w:p>
    <w:p>
      <w:pPr>
        <w:pStyle w:val="2"/>
        <w:rPr>
          <w:b/>
          <w:sz w:val="32"/>
          <w:szCs w:val="32"/>
        </w:rPr>
      </w:pPr>
    </w:p>
    <w:p>
      <w:pPr>
        <w:pStyle w:val="2"/>
        <w:rPr>
          <w:b/>
          <w:sz w:val="32"/>
          <w:szCs w:val="32"/>
        </w:rPr>
      </w:pPr>
    </w:p>
    <w:p>
      <w:pPr>
        <w:pStyle w:val="2"/>
        <w:rPr>
          <w:b/>
          <w:sz w:val="32"/>
          <w:szCs w:val="32"/>
        </w:rPr>
      </w:pPr>
    </w:p>
    <w:p>
      <w:pPr>
        <w:pStyle w:val="2"/>
        <w:rPr>
          <w:b/>
          <w:sz w:val="32"/>
          <w:szCs w:val="32"/>
        </w:rPr>
      </w:pPr>
      <w:r>
        <w:rPr>
          <w:rFonts w:ascii="Times New Roman" w:hAnsi="Times New Roman" w:eastAsia="仿宋" w:cs="楷体"/>
          <w:sz w:val="32"/>
          <w:szCs w:val="24"/>
          <w:lang w:bidi="a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292735</wp:posOffset>
            </wp:positionV>
            <wp:extent cx="2850515" cy="1923415"/>
            <wp:effectExtent l="0" t="0" r="6985" b="6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36" b="21331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264795</wp:posOffset>
            </wp:positionV>
            <wp:extent cx="2915920" cy="1941830"/>
            <wp:effectExtent l="0" t="0" r="17780" b="1270"/>
            <wp:wrapNone/>
            <wp:docPr id="11" name="图片 7" descr="IMG_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8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b/>
          <w:sz w:val="32"/>
          <w:szCs w:val="32"/>
        </w:rPr>
      </w:pPr>
    </w:p>
    <w:p>
      <w:pPr>
        <w:pStyle w:val="2"/>
        <w:rPr>
          <w:b/>
          <w:sz w:val="32"/>
          <w:szCs w:val="32"/>
        </w:rPr>
      </w:pPr>
    </w:p>
    <w:p>
      <w:pPr>
        <w:pStyle w:val="2"/>
        <w:ind w:left="0" w:leftChars="0" w:firstLine="0" w:firstLineChars="0"/>
        <w:rPr>
          <w:b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图1 柑橘</w:t>
      </w:r>
      <w:r>
        <w:rPr>
          <w:rFonts w:hint="eastAsia"/>
          <w:b w:val="0"/>
          <w:bCs w:val="0"/>
          <w:szCs w:val="21"/>
        </w:rPr>
        <w:t>合理</w:t>
      </w:r>
      <w:r>
        <w:rPr>
          <w:rFonts w:hint="eastAsia"/>
          <w:b w:val="0"/>
          <w:bCs w:val="0"/>
          <w:szCs w:val="21"/>
          <w:lang w:eastAsia="zh-CN"/>
        </w:rPr>
        <w:t>密植</w:t>
      </w:r>
      <w:r>
        <w:rPr>
          <w:rFonts w:hint="eastAsia"/>
          <w:b/>
          <w:szCs w:val="21"/>
          <w:lang w:val="en-US" w:eastAsia="zh-CN"/>
        </w:rPr>
        <w:t xml:space="preserve">             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图2 柑</w:t>
      </w:r>
      <w:r>
        <w:rPr>
          <w:rFonts w:hint="eastAsia"/>
          <w:b w:val="0"/>
          <w:bCs w:val="0"/>
          <w:szCs w:val="21"/>
          <w:lang w:eastAsia="zh-CN"/>
        </w:rPr>
        <w:t>橘园水肥一体</w:t>
      </w:r>
    </w:p>
    <w:p>
      <w:pPr>
        <w:pStyle w:val="2"/>
        <w:ind w:left="0" w:leftChars="0" w:firstLine="1280" w:firstLineChars="400"/>
        <w:jc w:val="left"/>
        <w:rPr>
          <w:rFonts w:hint="eastAsia" w:eastAsia="仿宋_GB2312"/>
          <w:b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127635</wp:posOffset>
            </wp:positionV>
            <wp:extent cx="2824480" cy="2118995"/>
            <wp:effectExtent l="0" t="0" r="13970" b="14605"/>
            <wp:wrapNone/>
            <wp:docPr id="1" name="图片 1" descr="bbd62e147828cec6e0698a63eed6b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bd62e147828cec6e0698a63eed6b1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"/>
          <w:sz w:val="32"/>
          <w:szCs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111760</wp:posOffset>
            </wp:positionV>
            <wp:extent cx="2867660" cy="2117725"/>
            <wp:effectExtent l="0" t="0" r="8890" b="1587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</w:p>
    <w:p>
      <w:pPr>
        <w:pStyle w:val="2"/>
        <w:ind w:left="0" w:leftChars="0" w:firstLine="600" w:firstLineChars="200"/>
        <w:rPr>
          <w:rFonts w:hint="eastAsia"/>
          <w:b w:val="0"/>
          <w:bCs/>
          <w:szCs w:val="21"/>
          <w:lang w:val="en-US" w:eastAsia="zh-CN"/>
        </w:rPr>
      </w:pPr>
    </w:p>
    <w:p>
      <w:pPr>
        <w:pStyle w:val="2"/>
        <w:ind w:left="0" w:leftChars="0" w:firstLine="60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/>
          <w:b w:val="0"/>
          <w:bCs/>
          <w:szCs w:val="21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32"/>
          <w:szCs w:val="32"/>
          <w:lang w:val="en-US" w:eastAsia="zh-CN" w:bidi="ar-SA"/>
        </w:rPr>
        <w:t>图3 柑橘园</w:t>
      </w:r>
      <w:r>
        <w:rPr>
          <w:rFonts w:hint="eastAsia" w:ascii="仿宋_GB2312" w:hAnsi="仿宋_GB2312" w:cs="仿宋_GB2312"/>
          <w:b w:val="0"/>
          <w:bCs/>
          <w:color w:val="000000"/>
          <w:kern w:val="2"/>
          <w:sz w:val="32"/>
          <w:szCs w:val="32"/>
          <w:lang w:val="en-US" w:eastAsia="zh-CN" w:bidi="ar-SA"/>
        </w:rPr>
        <w:t>绿色防控</w:t>
      </w:r>
      <w:r>
        <w:rPr>
          <w:rFonts w:hint="eastAsia" w:ascii="仿宋_GB2312" w:hAnsi="仿宋_GB2312" w:cs="仿宋_GB2312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图</w:t>
      </w:r>
      <w:r>
        <w:rPr>
          <w:rFonts w:hint="eastAsia" w:ascii="仿宋_GB2312" w:hAnsi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4 柑橘叶片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 xml:space="preserve">营养诊断 </w:t>
      </w:r>
    </w:p>
    <w:p>
      <w:pPr>
        <w:pStyle w:val="2"/>
        <w:ind w:left="0" w:leftChars="0"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231140</wp:posOffset>
            </wp:positionV>
            <wp:extent cx="2616835" cy="1964055"/>
            <wp:effectExtent l="0" t="0" r="12065" b="17145"/>
            <wp:wrapNone/>
            <wp:docPr id="3" name="图片 3" descr="d6c76e72d7303e855a4c1158602a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c76e72d7303e855a4c1158602a5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172720</wp:posOffset>
            </wp:positionV>
            <wp:extent cx="2684145" cy="2014220"/>
            <wp:effectExtent l="0" t="0" r="1905" b="5080"/>
            <wp:wrapNone/>
            <wp:docPr id="2" name="图片 2" descr="a65cc5d855c81095453ef3beda3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65cc5d855c81095453ef3beda348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640" w:firstLineChars="200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600" w:firstLineChars="200"/>
        <w:rPr>
          <w:rFonts w:hint="eastAsia"/>
          <w:b w:val="0"/>
          <w:bCs/>
          <w:szCs w:val="21"/>
          <w:lang w:val="en-US" w:eastAsia="zh-CN"/>
        </w:rPr>
      </w:pPr>
    </w:p>
    <w:p>
      <w:pPr>
        <w:pStyle w:val="2"/>
        <w:ind w:left="0" w:leftChars="0" w:firstLine="600" w:firstLineChars="200"/>
        <w:rPr>
          <w:rFonts w:hint="default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/>
          <w:b w:val="0"/>
          <w:bCs/>
          <w:szCs w:val="21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32"/>
          <w:szCs w:val="32"/>
          <w:lang w:val="en-US" w:eastAsia="zh-CN" w:bidi="ar-SA"/>
        </w:rPr>
        <w:t>图</w:t>
      </w:r>
      <w:r>
        <w:rPr>
          <w:rFonts w:hint="eastAsia" w:ascii="仿宋_GB2312" w:hAnsi="仿宋_GB2312" w:cs="仿宋_GB2312"/>
          <w:b w:val="0"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_GB2312" w:hAnsi="仿宋_GB2312" w:cs="仿宋_GB2312"/>
          <w:b w:val="0"/>
          <w:bCs/>
          <w:color w:val="000000"/>
          <w:kern w:val="2"/>
          <w:sz w:val="32"/>
          <w:szCs w:val="32"/>
          <w:lang w:val="en-US" w:eastAsia="zh-CN" w:bidi="ar-SA"/>
        </w:rPr>
        <w:t>标准化建园</w:t>
      </w:r>
      <w:r>
        <w:rPr>
          <w:rFonts w:hint="eastAsia" w:ascii="仿宋_GB2312" w:hAnsi="仿宋_GB2312" w:cs="仿宋_GB2312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           </w:t>
      </w:r>
      <w:r>
        <w:rPr>
          <w:rFonts w:hint="eastAsia"/>
          <w:b w:val="0"/>
          <w:bCs/>
          <w:szCs w:val="21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32"/>
          <w:szCs w:val="32"/>
          <w:lang w:val="en-US" w:eastAsia="zh-CN" w:bidi="ar-SA"/>
        </w:rPr>
        <w:t>图</w:t>
      </w:r>
      <w:r>
        <w:rPr>
          <w:rFonts w:hint="eastAsia" w:ascii="仿宋_GB2312" w:hAnsi="仿宋_GB2312" w:cs="仿宋_GB2312"/>
          <w:b w:val="0"/>
          <w:bCs/>
          <w:color w:val="000000"/>
          <w:kern w:val="2"/>
          <w:sz w:val="32"/>
          <w:szCs w:val="32"/>
          <w:lang w:val="en-US" w:eastAsia="zh-CN" w:bidi="ar-SA"/>
        </w:rPr>
        <w:t>6</w:t>
      </w:r>
      <w:r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_GB2312" w:hAnsi="仿宋_GB2312" w:cs="仿宋_GB2312"/>
          <w:b w:val="0"/>
          <w:bCs/>
          <w:color w:val="000000"/>
          <w:kern w:val="2"/>
          <w:sz w:val="32"/>
          <w:szCs w:val="32"/>
          <w:lang w:val="en-US" w:eastAsia="zh-CN" w:bidi="ar-SA"/>
        </w:rPr>
        <w:t>果园生草</w:t>
      </w:r>
      <w:r>
        <w:rPr>
          <w:rFonts w:hint="eastAsia" w:ascii="仿宋_GB2312" w:hAnsi="仿宋_GB2312" w:cs="仿宋_GB2312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   </w:t>
      </w:r>
    </w:p>
    <w:p>
      <w:pPr>
        <w:adjustRightInd w:val="0"/>
        <w:snapToGrid w:val="0"/>
        <w:spacing w:line="600" w:lineRule="exact"/>
        <w:rPr>
          <w:rFonts w:hint="eastAsia" w:ascii="Times New Roman" w:hAnsi="Times New Roman" w:eastAsia="黑体" w:cs="Times New Roman"/>
          <w:b/>
          <w:bCs/>
          <w:sz w:val="32"/>
          <w:szCs w:val="32"/>
          <w:lang w:eastAsia="zh-CN"/>
        </w:rPr>
      </w:pPr>
    </w:p>
    <w:p>
      <w:pPr>
        <w:adjustRightInd w:val="0"/>
        <w:snapToGrid w:val="0"/>
        <w:spacing w:line="600" w:lineRule="exact"/>
        <w:ind w:firstLine="643" w:firstLineChars="200"/>
        <w:rPr>
          <w:rFonts w:hint="eastAsia" w:ascii="Times New Roman" w:hAnsi="Times New Roman" w:eastAsia="黑体" w:cs="Times New Roman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黑体" w:cs="Times New Roman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21590</wp:posOffset>
            </wp:positionV>
            <wp:extent cx="2539365" cy="1904365"/>
            <wp:effectExtent l="0" t="0" r="13335" b="635"/>
            <wp:wrapNone/>
            <wp:docPr id="4" name="图片 4" descr="e69e13d48fe73e25e5d2bc676006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9e13d48fe73e25e5d2bc676006a5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600" w:lineRule="exact"/>
        <w:ind w:firstLine="643" w:firstLineChars="200"/>
        <w:rPr>
          <w:rFonts w:hint="eastAsia" w:ascii="Times New Roman" w:hAnsi="Times New Roman" w:eastAsia="黑体" w:cs="Times New Roman"/>
          <w:b/>
          <w:bCs/>
          <w:sz w:val="32"/>
          <w:szCs w:val="32"/>
          <w:lang w:eastAsia="zh-CN"/>
        </w:rPr>
      </w:pPr>
    </w:p>
    <w:p>
      <w:pPr>
        <w:adjustRightInd w:val="0"/>
        <w:snapToGrid w:val="0"/>
        <w:spacing w:line="600" w:lineRule="exact"/>
        <w:ind w:firstLine="643" w:firstLineChars="200"/>
        <w:rPr>
          <w:rFonts w:hint="eastAsia" w:ascii="Times New Roman" w:hAnsi="Times New Roman" w:eastAsia="黑体" w:cs="Times New Roman"/>
          <w:b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Times New Roman" w:hAnsi="Times New Roman" w:eastAsia="黑体" w:cs="Times New Roman"/>
          <w:b/>
          <w:bCs/>
          <w:sz w:val="32"/>
          <w:szCs w:val="32"/>
          <w:lang w:eastAsia="zh-CN"/>
        </w:rPr>
      </w:pPr>
    </w:p>
    <w:p>
      <w:pPr>
        <w:pStyle w:val="2"/>
        <w:ind w:left="0" w:leftChars="0" w:firstLine="0" w:firstLineChars="0"/>
        <w:rPr>
          <w:rFonts w:hint="eastAsia" w:ascii="Times New Roman" w:hAnsi="Times New Roman" w:eastAsia="黑体" w:cs="Times New Roman"/>
          <w:b/>
          <w:bCs/>
          <w:sz w:val="32"/>
          <w:szCs w:val="32"/>
          <w:lang w:eastAsia="zh-CN"/>
        </w:rPr>
      </w:pPr>
    </w:p>
    <w:p>
      <w:pPr>
        <w:adjustRightInd w:val="0"/>
        <w:snapToGrid w:val="0"/>
        <w:spacing w:line="600" w:lineRule="exact"/>
        <w:ind w:firstLine="640" w:firstLineChars="200"/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color w:val="000000"/>
          <w:kern w:val="2"/>
          <w:sz w:val="32"/>
          <w:szCs w:val="32"/>
          <w:lang w:val="en-US" w:eastAsia="zh-CN" w:bidi="ar-SA"/>
        </w:rPr>
        <w:t xml:space="preserve">图7 果品套袋  </w:t>
      </w:r>
    </w:p>
    <w:p>
      <w:pPr>
        <w:adjustRightInd w:val="0"/>
        <w:snapToGrid w:val="0"/>
        <w:spacing w:line="600" w:lineRule="exact"/>
        <w:ind w:firstLine="643" w:firstLineChars="200"/>
        <w:rPr>
          <w:rFonts w:hint="eastAsia" w:ascii="Times New Roman" w:hAnsi="Times New Roman" w:eastAsia="黑体" w:cs="Times New Roman"/>
          <w:b/>
          <w:bCs/>
          <w:sz w:val="32"/>
          <w:szCs w:val="32"/>
          <w:lang w:eastAsia="zh-CN"/>
        </w:rPr>
      </w:pPr>
    </w:p>
    <w:p>
      <w:pPr>
        <w:adjustRightInd w:val="0"/>
        <w:snapToGrid w:val="0"/>
        <w:spacing w:line="600" w:lineRule="exact"/>
        <w:ind w:firstLine="643" w:firstLineChars="200"/>
        <w:rPr>
          <w:rFonts w:ascii="Times New Roman" w:hAnsi="Times New Roman" w:eastAsia="黑体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32"/>
          <w:szCs w:val="32"/>
          <w:lang w:eastAsia="zh-CN"/>
        </w:rPr>
        <w:t>三、</w:t>
      </w:r>
      <w:r>
        <w:rPr>
          <w:rFonts w:ascii="Times New Roman" w:hAnsi="Times New Roman" w:eastAsia="黑体" w:cs="Times New Roman"/>
          <w:b/>
          <w:bCs/>
          <w:sz w:val="32"/>
          <w:szCs w:val="32"/>
        </w:rPr>
        <w:t>适宜区域</w:t>
      </w:r>
    </w:p>
    <w:p>
      <w:pPr>
        <w:adjustRightInd w:val="0"/>
        <w:snapToGrid w:val="0"/>
        <w:spacing w:line="600" w:lineRule="exact"/>
        <w:rPr>
          <w:rFonts w:hint="default" w:ascii="仿宋_GB2312" w:hAnsi="仿宋_GB2312" w:eastAsia="仿宋_GB2312" w:cs="仿宋_GB2312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</w:rPr>
        <w:t xml:space="preserve">   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适应推广应用的区域为江西省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主要柑橘类种植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地区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。</w:t>
      </w:r>
    </w:p>
    <w:p>
      <w:pPr>
        <w:adjustRightInd w:val="0"/>
        <w:snapToGrid w:val="0"/>
        <w:spacing w:line="600" w:lineRule="exact"/>
        <w:ind w:firstLine="643" w:firstLineChars="200"/>
        <w:rPr>
          <w:rFonts w:ascii="Times New Roman" w:hAnsi="Times New Roman" w:eastAsia="黑体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32"/>
          <w:szCs w:val="32"/>
          <w:lang w:eastAsia="zh-CN"/>
        </w:rPr>
        <w:t>四、</w:t>
      </w:r>
      <w:r>
        <w:rPr>
          <w:rFonts w:ascii="Times New Roman" w:hAnsi="Times New Roman" w:eastAsia="黑体" w:cs="Times New Roman"/>
          <w:b/>
          <w:bCs/>
          <w:sz w:val="32"/>
          <w:szCs w:val="32"/>
        </w:rPr>
        <w:t>注意事项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限制使用和允许使用的农药必须按要求控制施用量。注意不同作用机理的农药交替使用和合理混用，避免害虫产生抗药性。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坚持科学选址，不得在生态公益林区、江河源头区、饮用水水源区和水源涵养区、城镇周边天水倒向城镇2km范围内禁止或限制区域建园，不得占用基本农田开发新基地。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果园自然生草时不使用除草剂除草，使用割草机割草，每次割草方向保持一致。</w:t>
      </w:r>
    </w:p>
    <w:p>
      <w:pPr>
        <w:adjustRightInd w:val="0"/>
        <w:snapToGrid w:val="0"/>
        <w:spacing w:line="600" w:lineRule="exact"/>
        <w:ind w:firstLine="643" w:firstLineChars="200"/>
        <w:rPr>
          <w:rFonts w:ascii="Times New Roman" w:hAnsi="Times New Roman" w:eastAsia="黑体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bCs/>
          <w:sz w:val="32"/>
          <w:szCs w:val="32"/>
          <w:lang w:eastAsia="zh-CN"/>
        </w:rPr>
        <w:t>五、</w:t>
      </w:r>
      <w:r>
        <w:rPr>
          <w:rFonts w:ascii="Times New Roman" w:hAnsi="Times New Roman" w:eastAsia="黑体" w:cs="Times New Roman"/>
          <w:b/>
          <w:bCs/>
          <w:sz w:val="32"/>
          <w:szCs w:val="32"/>
        </w:rPr>
        <w:t>技术依托单位</w:t>
      </w:r>
    </w:p>
    <w:p>
      <w:pPr>
        <w:adjustRightInd w:val="0"/>
        <w:snapToGrid w:val="0"/>
        <w:spacing w:line="600" w:lineRule="exact"/>
        <w:ind w:firstLine="562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color w:val="000000"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b/>
          <w:color w:val="000000"/>
          <w:sz w:val="28"/>
          <w:szCs w:val="28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color w:val="000000"/>
          <w:sz w:val="28"/>
          <w:szCs w:val="28"/>
        </w:rPr>
        <w:t>江西省农业技术推广中心</w:t>
      </w:r>
    </w:p>
    <w:p>
      <w:pPr>
        <w:adjustRightInd w:val="0"/>
        <w:snapToGrid w:val="0"/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ascii="仿宋_GB2312" w:hAnsi="仿宋_GB2312" w:eastAsia="仿宋_GB2312" w:cs="仿宋_GB2312"/>
          <w:color w:val="000000"/>
          <w:sz w:val="28"/>
          <w:szCs w:val="28"/>
        </w:rPr>
        <w:t>联系地址：江西省南昌市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文教路359号江西省农业检验检测综合大楼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ascii="仿宋_GB2312" w:hAnsi="仿宋_GB2312" w:eastAsia="仿宋_GB2312" w:cs="仿宋_GB2312"/>
          <w:color w:val="000000"/>
          <w:sz w:val="28"/>
          <w:szCs w:val="28"/>
        </w:rPr>
        <w:t xml:space="preserve">邮政编码：330046 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联系人：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吴茵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联系电话：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18770052204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电子信箱：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instrText xml:space="preserve"> HYPERLINK "mailto:937520809@qq.com" </w:instrTex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937520809@qq.com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fldChar w:fldCharType="end"/>
      </w:r>
    </w:p>
    <w:p>
      <w:pPr>
        <w:adjustRightInd w:val="0"/>
        <w:snapToGrid w:val="0"/>
        <w:spacing w:line="600" w:lineRule="exact"/>
        <w:ind w:firstLine="562" w:firstLineChars="200"/>
        <w:rPr>
          <w:rFonts w:hint="eastAsia" w:ascii="仿宋_GB2312" w:hAnsi="仿宋_GB2312" w:eastAsia="仿宋_GB2312" w:cs="仿宋_GB2312"/>
          <w:b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000000"/>
          <w:sz w:val="28"/>
          <w:szCs w:val="28"/>
          <w:lang w:val="en-US" w:eastAsia="zh-CN"/>
        </w:rPr>
        <w:t>2.新余市农业科学研究中心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" w:hAnsi="仿宋" w:eastAsia="仿宋" w:cs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</w:rPr>
        <w:t>地址：新余市渝水区仙来中大道305号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</w:rPr>
        <w:t>邮编：338000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联系人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：万渊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联系电话：13755578278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电子信箱：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instrText xml:space="preserve"> HYPERLINK "mailto:wanyuan524@163.com" </w:instrTex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fldChar w:fldCharType="separate"/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wanyuan524@163.com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fldChar w:fldCharType="end"/>
      </w:r>
    </w:p>
    <w:p>
      <w:pPr>
        <w:pStyle w:val="2"/>
        <w:rPr>
          <w:rFonts w:hint="default" w:ascii="仿宋_GB2312" w:hAnsi="仿宋_GB2312" w:eastAsia="仿宋_GB2312" w:cs="仿宋_GB2312"/>
          <w:color w:val="000000"/>
          <w:sz w:val="28"/>
          <w:szCs w:val="28"/>
          <w:lang w:val="en-US"/>
        </w:rPr>
      </w:pPr>
      <w:r>
        <w:rPr>
          <w:rFonts w:hint="eastAsia" w:ascii="仿宋_GB2312" w:hAnsi="仿宋_GB2312" w:cs="仿宋_GB2312"/>
          <w:b/>
          <w:bCs/>
          <w:color w:val="000000"/>
          <w:sz w:val="28"/>
          <w:szCs w:val="28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8"/>
          <w:lang w:val="en-US" w:eastAsia="zh-CN"/>
        </w:rPr>
        <w:t>.</w:t>
      </w:r>
      <w:r>
        <w:rPr>
          <w:rFonts w:hint="eastAsia" w:ascii="仿宋_GB2312" w:hAnsi="仿宋_GB2312" w:cs="仿宋_GB2312"/>
          <w:b/>
          <w:bCs/>
          <w:color w:val="000000"/>
          <w:sz w:val="28"/>
          <w:szCs w:val="28"/>
          <w:lang w:val="en-US" w:eastAsia="zh-CN"/>
        </w:rPr>
        <w:t>吉安市井冈蜜柚发展服务中心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地址：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江西省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吉安市行政中心C座319室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 xml:space="preserve"> 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</w:rPr>
        <w:t>邮编：34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</w:rPr>
        <w:t>000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联系人：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易明亮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default" w:ascii="仿宋_GB2312" w:hAnsi="仿宋_GB2312" w:eastAsia="仿宋_GB2312" w:cs="仿宋_GB2312"/>
          <w:color w:val="00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联系电话：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19318939780</w:t>
      </w:r>
    </w:p>
    <w:p>
      <w:pPr>
        <w:adjustRightInd w:val="0"/>
        <w:snapToGrid w:val="0"/>
        <w:spacing w:line="60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电子信箱：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guoyeju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@163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com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id w:val="-1954318785"/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12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VlfrwyAgAAYwQAAA4AAABkcnMvZTJvRG9jLnhtbK1UzY7TMBC+I/EO&#10;lu80bdGu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VWV+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954318785"/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1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15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E3MmVmYjg5MTRiNjQ3NDYzMjkzZTVlYzIyNTg4ZjMifQ=="/>
  </w:docVars>
  <w:rsids>
    <w:rsidRoot w:val="00F000FB"/>
    <w:rsid w:val="000032F4"/>
    <w:rsid w:val="0000497F"/>
    <w:rsid w:val="000152A2"/>
    <w:rsid w:val="00020069"/>
    <w:rsid w:val="00023EEE"/>
    <w:rsid w:val="00046541"/>
    <w:rsid w:val="00070FF3"/>
    <w:rsid w:val="000A4EA3"/>
    <w:rsid w:val="000C7F78"/>
    <w:rsid w:val="000D340B"/>
    <w:rsid w:val="000E35B8"/>
    <w:rsid w:val="001008C9"/>
    <w:rsid w:val="00112460"/>
    <w:rsid w:val="001352E0"/>
    <w:rsid w:val="00136F23"/>
    <w:rsid w:val="0019273A"/>
    <w:rsid w:val="00193286"/>
    <w:rsid w:val="001A5B8C"/>
    <w:rsid w:val="001B011C"/>
    <w:rsid w:val="001F0A32"/>
    <w:rsid w:val="001F2B7B"/>
    <w:rsid w:val="001F64B9"/>
    <w:rsid w:val="00207989"/>
    <w:rsid w:val="002141C7"/>
    <w:rsid w:val="00220C44"/>
    <w:rsid w:val="002237FE"/>
    <w:rsid w:val="00230EAA"/>
    <w:rsid w:val="00231260"/>
    <w:rsid w:val="002318CE"/>
    <w:rsid w:val="00244C32"/>
    <w:rsid w:val="00272B7B"/>
    <w:rsid w:val="00277B02"/>
    <w:rsid w:val="002D4794"/>
    <w:rsid w:val="002D7CB5"/>
    <w:rsid w:val="002E23CD"/>
    <w:rsid w:val="003225E1"/>
    <w:rsid w:val="0033570F"/>
    <w:rsid w:val="00362327"/>
    <w:rsid w:val="003760E0"/>
    <w:rsid w:val="00393263"/>
    <w:rsid w:val="003E7DCC"/>
    <w:rsid w:val="00442E98"/>
    <w:rsid w:val="0045250C"/>
    <w:rsid w:val="00464A13"/>
    <w:rsid w:val="00470C7D"/>
    <w:rsid w:val="00471B58"/>
    <w:rsid w:val="004B7676"/>
    <w:rsid w:val="004C4A50"/>
    <w:rsid w:val="004C592C"/>
    <w:rsid w:val="004D783D"/>
    <w:rsid w:val="005101D4"/>
    <w:rsid w:val="00524597"/>
    <w:rsid w:val="005509C6"/>
    <w:rsid w:val="00567724"/>
    <w:rsid w:val="00573D17"/>
    <w:rsid w:val="005777E1"/>
    <w:rsid w:val="00582FC1"/>
    <w:rsid w:val="005A07F2"/>
    <w:rsid w:val="005A59F5"/>
    <w:rsid w:val="005A62F7"/>
    <w:rsid w:val="005B239F"/>
    <w:rsid w:val="005B3055"/>
    <w:rsid w:val="005C1857"/>
    <w:rsid w:val="006079FE"/>
    <w:rsid w:val="00612B36"/>
    <w:rsid w:val="0062499C"/>
    <w:rsid w:val="006343B1"/>
    <w:rsid w:val="00634E20"/>
    <w:rsid w:val="00677B91"/>
    <w:rsid w:val="006C139E"/>
    <w:rsid w:val="006C596E"/>
    <w:rsid w:val="0071270B"/>
    <w:rsid w:val="00734B5D"/>
    <w:rsid w:val="00776A00"/>
    <w:rsid w:val="00792C1E"/>
    <w:rsid w:val="007D1F13"/>
    <w:rsid w:val="007E6FB2"/>
    <w:rsid w:val="00812911"/>
    <w:rsid w:val="008369C7"/>
    <w:rsid w:val="00860FB0"/>
    <w:rsid w:val="00877A03"/>
    <w:rsid w:val="008B09A6"/>
    <w:rsid w:val="008C2581"/>
    <w:rsid w:val="00910EC2"/>
    <w:rsid w:val="00922D45"/>
    <w:rsid w:val="009449C4"/>
    <w:rsid w:val="0097341E"/>
    <w:rsid w:val="00996592"/>
    <w:rsid w:val="009C2237"/>
    <w:rsid w:val="009D3A8C"/>
    <w:rsid w:val="009E74E0"/>
    <w:rsid w:val="00A12A53"/>
    <w:rsid w:val="00A16AA6"/>
    <w:rsid w:val="00A27F62"/>
    <w:rsid w:val="00A33CFA"/>
    <w:rsid w:val="00A363C4"/>
    <w:rsid w:val="00A6076C"/>
    <w:rsid w:val="00A75700"/>
    <w:rsid w:val="00A83245"/>
    <w:rsid w:val="00AA5EC1"/>
    <w:rsid w:val="00AA66BC"/>
    <w:rsid w:val="00AC672E"/>
    <w:rsid w:val="00AD42DF"/>
    <w:rsid w:val="00AE0E9B"/>
    <w:rsid w:val="00AE1525"/>
    <w:rsid w:val="00B50B29"/>
    <w:rsid w:val="00B732E0"/>
    <w:rsid w:val="00B73727"/>
    <w:rsid w:val="00B74984"/>
    <w:rsid w:val="00B90E65"/>
    <w:rsid w:val="00BD486B"/>
    <w:rsid w:val="00BD6689"/>
    <w:rsid w:val="00BE0D94"/>
    <w:rsid w:val="00BE3E02"/>
    <w:rsid w:val="00C041F1"/>
    <w:rsid w:val="00C27D03"/>
    <w:rsid w:val="00C31EF1"/>
    <w:rsid w:val="00C8150C"/>
    <w:rsid w:val="00CD7F32"/>
    <w:rsid w:val="00CE6877"/>
    <w:rsid w:val="00D1623F"/>
    <w:rsid w:val="00D54B72"/>
    <w:rsid w:val="00DA0A8C"/>
    <w:rsid w:val="00DA357E"/>
    <w:rsid w:val="00DD0163"/>
    <w:rsid w:val="00DD563C"/>
    <w:rsid w:val="00DE10D7"/>
    <w:rsid w:val="00E37D9E"/>
    <w:rsid w:val="00E44276"/>
    <w:rsid w:val="00E463B2"/>
    <w:rsid w:val="00E54DCF"/>
    <w:rsid w:val="00E6009D"/>
    <w:rsid w:val="00E77AFD"/>
    <w:rsid w:val="00E90139"/>
    <w:rsid w:val="00EA750C"/>
    <w:rsid w:val="00EF27A7"/>
    <w:rsid w:val="00F000FB"/>
    <w:rsid w:val="00F21329"/>
    <w:rsid w:val="00F306F0"/>
    <w:rsid w:val="00F4563F"/>
    <w:rsid w:val="00F52CB0"/>
    <w:rsid w:val="00F5420A"/>
    <w:rsid w:val="00F82F3B"/>
    <w:rsid w:val="00F85264"/>
    <w:rsid w:val="00F97E33"/>
    <w:rsid w:val="00FC4F3B"/>
    <w:rsid w:val="03E35E25"/>
    <w:rsid w:val="0A426D43"/>
    <w:rsid w:val="0A690774"/>
    <w:rsid w:val="0CB86F53"/>
    <w:rsid w:val="0CFE2D6E"/>
    <w:rsid w:val="0E452763"/>
    <w:rsid w:val="11947DF4"/>
    <w:rsid w:val="15F35395"/>
    <w:rsid w:val="16BF207D"/>
    <w:rsid w:val="16C13053"/>
    <w:rsid w:val="19442813"/>
    <w:rsid w:val="1B1F09DB"/>
    <w:rsid w:val="1F933745"/>
    <w:rsid w:val="25D9E487"/>
    <w:rsid w:val="26820B6A"/>
    <w:rsid w:val="28125E48"/>
    <w:rsid w:val="29194C3C"/>
    <w:rsid w:val="295A2940"/>
    <w:rsid w:val="2AFE23BA"/>
    <w:rsid w:val="2B513A1E"/>
    <w:rsid w:val="2BB117F6"/>
    <w:rsid w:val="2CEE645F"/>
    <w:rsid w:val="308C2216"/>
    <w:rsid w:val="30B03D96"/>
    <w:rsid w:val="318203D5"/>
    <w:rsid w:val="34AC4B07"/>
    <w:rsid w:val="36712893"/>
    <w:rsid w:val="3B490E70"/>
    <w:rsid w:val="3B530501"/>
    <w:rsid w:val="3BFD40A4"/>
    <w:rsid w:val="3D2856E0"/>
    <w:rsid w:val="3F126725"/>
    <w:rsid w:val="41DF2AEE"/>
    <w:rsid w:val="46967728"/>
    <w:rsid w:val="486C22BB"/>
    <w:rsid w:val="491E6EE9"/>
    <w:rsid w:val="4A510BD5"/>
    <w:rsid w:val="4BCD3238"/>
    <w:rsid w:val="4D6C7200"/>
    <w:rsid w:val="4F7C7E68"/>
    <w:rsid w:val="51F52DDA"/>
    <w:rsid w:val="52983D40"/>
    <w:rsid w:val="53DE69AE"/>
    <w:rsid w:val="570D3802"/>
    <w:rsid w:val="59373643"/>
    <w:rsid w:val="59BC0367"/>
    <w:rsid w:val="59FE7667"/>
    <w:rsid w:val="5AF20343"/>
    <w:rsid w:val="622A170C"/>
    <w:rsid w:val="6294486A"/>
    <w:rsid w:val="6336090C"/>
    <w:rsid w:val="63490FC1"/>
    <w:rsid w:val="63DB5069"/>
    <w:rsid w:val="66413D3D"/>
    <w:rsid w:val="68D95113"/>
    <w:rsid w:val="6A5C1D2E"/>
    <w:rsid w:val="6AAA6E26"/>
    <w:rsid w:val="6DB60675"/>
    <w:rsid w:val="70E95E5B"/>
    <w:rsid w:val="741A2DD7"/>
    <w:rsid w:val="74895E06"/>
    <w:rsid w:val="76130010"/>
    <w:rsid w:val="771948AC"/>
    <w:rsid w:val="77490E5A"/>
    <w:rsid w:val="77B31EDC"/>
    <w:rsid w:val="7817002A"/>
    <w:rsid w:val="7A270FFA"/>
    <w:rsid w:val="7B7D0A63"/>
    <w:rsid w:val="7B905FDA"/>
    <w:rsid w:val="7C104B12"/>
    <w:rsid w:val="7DF12C86"/>
    <w:rsid w:val="7E9567D4"/>
    <w:rsid w:val="FFFFABA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2"/>
    <w:basedOn w:val="1"/>
    <w:qFormat/>
    <w:uiPriority w:val="0"/>
    <w:pPr>
      <w:spacing w:after="120"/>
      <w:ind w:firstLine="420" w:firstLineChars="200"/>
      <w:jc w:val="both"/>
      <w:textAlignment w:val="baseline"/>
    </w:pPr>
    <w:rPr>
      <w:rFonts w:ascii="Times New Roman" w:hAnsi="Times New Roman" w:eastAsia="仿宋_GB2312"/>
      <w:kern w:val="2"/>
      <w:sz w:val="30"/>
      <w:szCs w:val="24"/>
      <w:lang w:val="en-US" w:eastAsia="zh-CN" w:bidi="ar-SA"/>
    </w:r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3">
    <w:name w:val="列表段落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paragraph" w:customStyle="1" w:styleId="15">
    <w:name w:val="一级条标题"/>
    <w:next w:val="16"/>
    <w:qFormat/>
    <w:uiPriority w:val="0"/>
    <w:pPr>
      <w:numPr>
        <w:ilvl w:val="1"/>
        <w:numId w:val="1"/>
      </w:numPr>
      <w:spacing w:before="156" w:beforeLines="50" w:after="156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6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7">
    <w:name w:val="二级标题z"/>
    <w:basedOn w:val="18"/>
    <w:next w:val="18"/>
    <w:qFormat/>
    <w:uiPriority w:val="0"/>
    <w:pPr>
      <w:adjustRightInd w:val="0"/>
      <w:snapToGrid w:val="0"/>
    </w:pPr>
    <w:rPr>
      <w:rFonts w:eastAsia="楷体_GB2312"/>
      <w:b/>
      <w:szCs w:val="44"/>
    </w:rPr>
  </w:style>
  <w:style w:type="paragraph" w:customStyle="1" w:styleId="18">
    <w:name w:val="正文z"/>
    <w:basedOn w:val="1"/>
    <w:qFormat/>
    <w:uiPriority w:val="0"/>
    <w:pPr>
      <w:spacing w:line="600" w:lineRule="exact"/>
      <w:ind w:firstLine="200" w:firstLineChars="200"/>
    </w:pPr>
    <w:rPr>
      <w:rFonts w:ascii="Times New Roman" w:hAnsi="Times New Roman" w:eastAsia="仿宋_GB2312"/>
      <w:sz w:val="3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1992</Words>
  <Characters>2144</Characters>
  <Lines>48</Lines>
  <Paragraphs>13</Paragraphs>
  <TotalTime>8</TotalTime>
  <ScaleCrop>false</ScaleCrop>
  <LinksUpToDate>false</LinksUpToDate>
  <CharactersWithSpaces>2179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2023-02-07T10:26:00Z</dcterms:created>
  <dc:creator>Rpc-hyn</dc:creator>
  <cp:lastModifiedBy>pxllnba</cp:lastModifiedBy>
  <cp:lastPrinted>2023-01-30T17:44:00Z</cp:lastPrinted>
  <dcterms:modified xsi:type="dcterms:W3CDTF">2024-02-28T03:13:37Z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4C194BEAC0F14B46AD24B1D8C2C50C18_13</vt:lpwstr>
  </property>
</Properties>
</file>